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pPr>
      <w:hyperlink w:anchor="toc">
        <w:bookmarkStart w:id="0" w:name="d179584d6k.htm"/>
        <w:bookmarkStart w:id="1" w:name="ksd179584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November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001-33178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MELCO RESORTS &amp; ENTERTAINMENT LIMITED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Singapore (068895)</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Form 20-F ☒ Form 40-F ☐ </w:t>
      </w:r>
    </w:p>
    <w:p>
      <w:pPr>
        <w:pStyle w:val="TextBody"/>
        <w:bidi w:val="0"/>
        <w:spacing w:before="0" w:after="0"/>
        <w:jc w:val="left"/>
      </w:pPr>
      <w: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9815"/>
        <w:gridCol w:w="128"/>
        <w:gridCol w:w="60"/>
        <w:gridCol w:w="140"/>
        <w:gridCol w:w="62"/>
      </w:tblGrid>
      <w:tr>
        <w:tc>
          <w:tcPr>
            <w:tcW w:w="981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c>
          <w:tcPr>
            <w:tcW w:w="9815" w:type="dxa"/>
            <w:tcBorders/>
          </w:tcPr>
          <w:p>
            <w:pPr>
              <w:pStyle w:val="TableContents"/>
              <w:bidi w:val="0"/>
              <w:spacing w:before="0" w:after="0"/>
              <w:jc w:val="left"/>
            </w:pPr>
            <w:hyperlink w:anchor="tx179584_1">
              <w:r>
                <w:rPr>
                  <w:rStyle w:val="InternetLink"/>
                  <w:rFonts w:ascii="Times New Roman" w:hAnsi="Times New Roman"/>
                  <w:sz w:val="20"/>
                </w:rPr>
                <w:t xml:space="preserve">Signature </w:t>
              </w:r>
            </w:hyperlink>
          </w:p>
        </w:tc>
        <w:tc>
          <w:tcPr>
            <w:tcW w:w="12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right"/>
            </w:pPr>
            <w:r>
              <w:t>3</w:t>
            </w:r>
          </w:p>
        </w:tc>
        <w:tc>
          <w:tcPr>
            <w:tcW w:w="62" w:type="dxa"/>
            <w:tcBorders/>
            <w:vAlign w:val="bottom"/>
          </w:tcPr>
          <w:p>
            <w:pPr>
              <w:pStyle w:val="TableContents"/>
              <w:bidi w:val="0"/>
              <w:spacing w:before="0" w:after="283"/>
              <w:jc w:val="left"/>
            </w:pPr>
            <w:r>
              <w:t> </w:t>
            </w:r>
          </w:p>
        </w:tc>
      </w:tr>
      <w:tr>
        <w:trPr>
          <w:trHeight w:val="120" w:hRule="atLeast"/>
        </w:trPr>
        <w:tc>
          <w:tcPr>
            <w:tcW w:w="9815" w:type="dxa"/>
            <w:tcBorders/>
            <w:vAlign w:val="center"/>
          </w:tcPr>
          <w:p>
            <w:pPr>
              <w:pStyle w:val="TableContents"/>
              <w:bidi w:val="0"/>
              <w:spacing w:before="0" w:after="283"/>
              <w:jc w:val="left"/>
              <w:rPr>
                <w:sz w:val="4"/>
                <w:szCs w:val="4"/>
              </w:rPr>
            </w:pPr>
            <w:r>
              <w:rPr>
                <w:sz w:val="4"/>
                <w:szCs w:val="4"/>
              </w:rPr>
            </w:r>
          </w:p>
        </w:tc>
        <w:tc>
          <w:tcPr>
            <w:tcW w:w="390" w:type="dxa"/>
            <w:gridSpan w:val="4"/>
            <w:tcBorders/>
            <w:vAlign w:val="center"/>
          </w:tcPr>
          <w:p>
            <w:pPr>
              <w:pStyle w:val="TableContents"/>
              <w:bidi w:val="0"/>
              <w:spacing w:before="0" w:after="283"/>
              <w:jc w:val="left"/>
              <w:rPr>
                <w:sz w:val="4"/>
                <w:szCs w:val="4"/>
              </w:rPr>
            </w:pPr>
            <w:r>
              <w:rPr>
                <w:sz w:val="4"/>
                <w:szCs w:val="4"/>
              </w:rPr>
            </w:r>
          </w:p>
        </w:tc>
      </w:tr>
      <w:tr>
        <w:tc>
          <w:tcPr>
            <w:tcW w:w="9815" w:type="dxa"/>
            <w:tcBorders/>
          </w:tcPr>
          <w:p>
            <w:pPr>
              <w:pStyle w:val="TableContents"/>
              <w:bidi w:val="0"/>
              <w:spacing w:before="0" w:after="0"/>
              <w:jc w:val="left"/>
            </w:pPr>
            <w:hyperlink w:anchor="d179584dex991.htm">
              <w:r>
                <w:rPr>
                  <w:rStyle w:val="InternetLink"/>
                  <w:rFonts w:ascii="Times New Roman" w:hAnsi="Times New Roman"/>
                  <w:sz w:val="20"/>
                </w:rPr>
                <w:t xml:space="preserve">Exhibit 99.1 </w:t>
              </w:r>
            </w:hyperlink>
          </w:p>
        </w:tc>
        <w:tc>
          <w:tcPr>
            <w:tcW w:w="12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79584_1"/>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pPr>
      <w:r>
        <w:t> </w:t>
      </w:r>
    </w:p>
    <w:tbl>
      <w:tblPr>
        <w:tblW w:w="2000" w:type="pct"/>
        <w:jc w:val="right"/>
        <w:tblInd w:w="0" w:type="dxa"/>
        <w:tblLayout w:type="fixed"/>
        <w:tblCellMar>
          <w:top w:w="0" w:type="dxa"/>
          <w:left w:w="0" w:type="dxa"/>
          <w:bottom w:w="0" w:type="dxa"/>
          <w:right w:w="0" w:type="dxa"/>
        </w:tblCellMar>
      </w:tblPr>
      <w:tblGrid>
        <w:gridCol w:w="1421"/>
        <w:gridCol w:w="143"/>
        <w:gridCol w:w="2518"/>
      </w:tblGrid>
      <w:tr>
        <w:tc>
          <w:tcPr>
            <w:tcW w:w="142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rPr>
                <w:b/>
              </w:rPr>
            </w:pPr>
            <w:r>
              <w:rPr>
                <w:b/>
              </w:rPr>
              <w:t>MELCO RESORTS &amp; ENTERTAINMENT LIMITED</w:t>
            </w:r>
          </w:p>
        </w:tc>
      </w:tr>
      <w:tr>
        <w:trPr>
          <w:trHeight w:val="240" w:hRule="atLeast"/>
        </w:trPr>
        <w:tc>
          <w:tcPr>
            <w:tcW w:w="1421" w:type="dxa"/>
            <w:tcBorders/>
            <w:vAlign w:val="center"/>
          </w:tcPr>
          <w:p>
            <w:pPr>
              <w:pStyle w:val="TableContents"/>
              <w:bidi w:val="0"/>
              <w:spacing w:before="0" w:after="283"/>
              <w:jc w:val="left"/>
              <w:rPr>
                <w:sz w:val="4"/>
                <w:szCs w:val="4"/>
              </w:rPr>
            </w:pPr>
            <w:r>
              <w:rPr>
                <w:sz w:val="4"/>
                <w:szCs w:val="4"/>
              </w:rPr>
            </w:r>
          </w:p>
        </w:tc>
        <w:tc>
          <w:tcPr>
            <w:tcW w:w="2661" w:type="dxa"/>
            <w:gridSpan w:val="2"/>
            <w:tcBorders/>
            <w:vAlign w:val="center"/>
          </w:tcPr>
          <w:p>
            <w:pPr>
              <w:pStyle w:val="TableContents"/>
              <w:bidi w:val="0"/>
              <w:spacing w:before="0" w:after="283"/>
              <w:jc w:val="left"/>
              <w:rPr>
                <w:sz w:val="4"/>
                <w:szCs w:val="4"/>
              </w:rPr>
            </w:pPr>
            <w:r>
              <w:rPr>
                <w:sz w:val="4"/>
                <w:szCs w:val="4"/>
              </w:rPr>
            </w:r>
          </w:p>
        </w:tc>
      </w:tr>
      <w:tr>
        <w:tc>
          <w:tcPr>
            <w:tcW w:w="1421" w:type="dxa"/>
            <w:tcBorders/>
          </w:tcPr>
          <w:p>
            <w:pPr>
              <w:pStyle w:val="TableContents"/>
              <w:bidi w:val="0"/>
              <w:spacing w:before="0" w:after="283"/>
              <w:jc w:val="left"/>
            </w:pPr>
            <w:r>
              <w:t>By:</w:t>
            </w:r>
          </w:p>
        </w:tc>
        <w:tc>
          <w:tcPr>
            <w:tcW w:w="143" w:type="dxa"/>
            <w:tcBorders/>
            <w:vAlign w:val="bottom"/>
          </w:tcPr>
          <w:p>
            <w:pPr>
              <w:pStyle w:val="TableContents"/>
              <w:bidi w:val="0"/>
              <w:spacing w:before="0" w:after="283"/>
              <w:jc w:val="left"/>
            </w:pPr>
            <w:r>
              <w:t> </w:t>
            </w:r>
          </w:p>
        </w:tc>
        <w:tc>
          <w:tcPr>
            <w:tcW w:w="25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Geoffrey Davis</w:t>
            </w:r>
          </w:p>
        </w:tc>
      </w:tr>
      <w:tr>
        <w:tc>
          <w:tcPr>
            <w:tcW w:w="1421" w:type="dxa"/>
            <w:tcBorders/>
          </w:tcPr>
          <w:p>
            <w:pPr>
              <w:pStyle w:val="TableContents"/>
              <w:bidi w:val="0"/>
              <w:spacing w:before="0" w:after="283"/>
              <w:jc w:val="left"/>
            </w:pPr>
            <w:r>
              <w:t>Name:</w:t>
            </w:r>
          </w:p>
        </w:tc>
        <w:tc>
          <w:tcPr>
            <w:tcW w:w="143" w:type="dxa"/>
            <w:tcBorders/>
            <w:vAlign w:val="bottom"/>
          </w:tcPr>
          <w:p>
            <w:pPr>
              <w:pStyle w:val="TableContents"/>
              <w:bidi w:val="0"/>
              <w:spacing w:before="0" w:after="283"/>
              <w:jc w:val="left"/>
            </w:pPr>
            <w:r>
              <w:t> </w:t>
            </w:r>
          </w:p>
        </w:tc>
        <w:tc>
          <w:tcPr>
            <w:tcW w:w="2518" w:type="dxa"/>
            <w:tcBorders/>
          </w:tcPr>
          <w:p>
            <w:pPr>
              <w:pStyle w:val="TableContents"/>
              <w:bidi w:val="0"/>
              <w:spacing w:before="0" w:after="283"/>
              <w:jc w:val="left"/>
            </w:pPr>
            <w:r>
              <w:t>Geoffrey Davis, CFA</w:t>
            </w:r>
          </w:p>
        </w:tc>
      </w:tr>
      <w:tr>
        <w:tc>
          <w:tcPr>
            <w:tcW w:w="1421" w:type="dxa"/>
            <w:tcBorders/>
          </w:tcPr>
          <w:p>
            <w:pPr>
              <w:pStyle w:val="TableContents"/>
              <w:bidi w:val="0"/>
              <w:spacing w:before="0" w:after="283"/>
              <w:jc w:val="left"/>
            </w:pPr>
            <w:r>
              <w:t>Title:</w:t>
            </w:r>
          </w:p>
        </w:tc>
        <w:tc>
          <w:tcPr>
            <w:tcW w:w="143" w:type="dxa"/>
            <w:tcBorders/>
            <w:vAlign w:val="bottom"/>
          </w:tcPr>
          <w:p>
            <w:pPr>
              <w:pStyle w:val="TableContents"/>
              <w:bidi w:val="0"/>
              <w:spacing w:before="0" w:after="283"/>
              <w:jc w:val="left"/>
            </w:pPr>
            <w:r>
              <w:t> </w:t>
            </w:r>
          </w:p>
        </w:tc>
        <w:tc>
          <w:tcPr>
            <w:tcW w:w="2518" w:type="dxa"/>
            <w:tcBorders/>
          </w:tcPr>
          <w:p>
            <w:pPr>
              <w:pStyle w:val="TableContents"/>
              <w:bidi w:val="0"/>
              <w:spacing w:before="0" w:after="283"/>
              <w:jc w:val="left"/>
            </w:pPr>
            <w: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November 5, 2026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1215"/>
        <w:gridCol w:w="321"/>
        <w:gridCol w:w="8669"/>
      </w:tblGrid>
      <w:tr>
        <w:tc>
          <w:tcPr>
            <w:tcW w:w="121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c>
          <w:tcPr>
            <w:tcW w:w="12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321" w:type="dxa"/>
            <w:tcBorders/>
            <w:vAlign w:val="bottom"/>
          </w:tcPr>
          <w:p>
            <w:pPr>
              <w:pStyle w:val="TableContents"/>
              <w:bidi w:val="0"/>
              <w:spacing w:before="0" w:after="283"/>
              <w:jc w:val="left"/>
            </w:pPr>
            <w: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215" w:type="dxa"/>
            <w:tcBorders/>
            <w:vAlign w:val="center"/>
          </w:tcPr>
          <w:p>
            <w:pPr>
              <w:pStyle w:val="TableContents"/>
              <w:bidi w:val="0"/>
              <w:spacing w:before="0" w:after="283"/>
              <w:jc w:val="left"/>
              <w:rPr>
                <w:sz w:val="4"/>
                <w:szCs w:val="4"/>
              </w:rPr>
            </w:pPr>
            <w:r>
              <w:rPr>
                <w:sz w:val="4"/>
                <w:szCs w:val="4"/>
              </w:rPr>
            </w:r>
          </w:p>
        </w:tc>
        <w:tc>
          <w:tcPr>
            <w:tcW w:w="8990" w:type="dxa"/>
            <w:gridSpan w:val="2"/>
            <w:tcBorders/>
            <w:vAlign w:val="center"/>
          </w:tcPr>
          <w:p>
            <w:pPr>
              <w:pStyle w:val="TableContents"/>
              <w:bidi w:val="0"/>
              <w:spacing w:before="0" w:after="283"/>
              <w:jc w:val="left"/>
              <w:rPr>
                <w:sz w:val="4"/>
                <w:szCs w:val="4"/>
              </w:rPr>
            </w:pPr>
            <w:r>
              <w:rPr>
                <w:sz w:val="4"/>
                <w:szCs w:val="4"/>
              </w:rPr>
            </w:r>
          </w:p>
        </w:tc>
      </w:tr>
      <w:tr>
        <w:tc>
          <w:tcPr>
            <w:tcW w:w="1215" w:type="dxa"/>
            <w:tcBorders/>
          </w:tcPr>
          <w:p>
            <w:pPr>
              <w:pStyle w:val="TableContents"/>
              <w:bidi w:val="0"/>
              <w:spacing w:before="0" w:after="283"/>
              <w:jc w:val="left"/>
            </w:pPr>
            <w:r>
              <w:t>Exhibit 99.1</w:t>
            </w:r>
          </w:p>
        </w:tc>
        <w:tc>
          <w:tcPr>
            <w:tcW w:w="321" w:type="dxa"/>
            <w:tcBorders/>
            <w:vAlign w:val="bottom"/>
          </w:tcPr>
          <w:p>
            <w:pPr>
              <w:pStyle w:val="TableContents"/>
              <w:bidi w:val="0"/>
              <w:spacing w:before="0" w:after="283"/>
              <w:jc w:val="left"/>
            </w:pPr>
            <w:r>
              <w:t>  </w:t>
            </w:r>
          </w:p>
        </w:tc>
        <w:tc>
          <w:tcPr>
            <w:tcW w:w="8669" w:type="dxa"/>
            <w:tcBorders/>
          </w:tcPr>
          <w:p>
            <w:pPr>
              <w:pStyle w:val="TableContents"/>
              <w:bidi w:val="0"/>
              <w:spacing w:before="0" w:after="283"/>
              <w:jc w:val="left"/>
            </w:pPr>
            <w:r>
              <w:t>Unaudited Results for Third Quarter of 2026</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4" w:name="d179584dex991.htm"/>
      <w:bookmarkStart w:id="5" w:name="ksd179584dex991"/>
      <w:bookmarkEnd w:id="4"/>
      <w:bookmarkEnd w:id="5"/>
      <w:r>
        <w:rPr>
          <w:rFonts w:ascii="Times New Roman" w:hAnsi="Times New Roman"/>
          <w:b/>
          <w:sz w:val="20"/>
        </w:rPr>
        <w:t xml:space="preserve">Exhibit 99.1 </w:t>
      </w:r>
      <w:r>
        <w:br w:type="page"/>
      </w:r>
    </w:p>
    <w:p>
      <w:pPr>
        <w:pStyle w:val="TextBody"/>
        <w:bidi w:val="0"/>
        <w:spacing w:before="0" w:after="0"/>
        <w:jc w:val="left"/>
      </w:pPr>
      <w:r>
        <w:t> </w:t>
      </w:r>
    </w:p>
    <w:p>
      <w:pPr>
        <w:pStyle w:val="TextBody"/>
        <w:bidi w:val="0"/>
        <w:spacing w:before="0" w:after="0"/>
        <w:jc w:val="left"/>
      </w:pPr>
      <w:r>
        <w:drawing>
          <wp:inline distT="0" distB="0" distL="0" distR="0">
            <wp:extent cx="1114425"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4425" cy="247650"/>
                    </a:xfrm>
                    <a:prstGeom prst="rect">
                      <a:avLst/>
                    </a:prstGeom>
                  </pic:spPr>
                </pic:pic>
              </a:graphicData>
            </a:graphic>
          </wp:inline>
        </w:drawing>
      </w:r>
      <w: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Melco Resorts Announces Unaudited Third Quarter 2026 Earnings </w:t>
      </w:r>
    </w:p>
    <w:p>
      <w:pPr>
        <w:pStyle w:val="TextBody"/>
        <w:bidi w:val="0"/>
        <w:spacing w:before="120" w:after="0"/>
        <w:jc w:val="left"/>
        <w:rPr>
          <w:rFonts w:ascii="Times New Roman" w:hAnsi="Times New Roman"/>
          <w:sz w:val="20"/>
        </w:rPr>
      </w:pPr>
      <w:r>
        <w:rPr>
          <w:rFonts w:ascii="Times New Roman" w:hAnsi="Times New Roman"/>
          <w:sz w:val="20"/>
        </w:rPr>
        <w:t xml:space="preserve">MACAU, Nov. 04, 2026 (GLOBE NEWSWIRE) — Melco Resorts &amp; Entertainment Limited (Nasdaq: MLCO) (“Melco Resorts” or the “Company”), a developer, owner, and operator of integrated resort facilities in Asia and Europe, today reported its unaudited financial results for the third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Total operating revenues for the third quarter of 2026 were US$1.17 billion, representing a decrease of approximately 10% from US$1.31 billion for the comparable period in 2025. The decrease in total operating revenues was primarily attributable to softer performance in rolling chip and mass market table games as well as overall non-gaming operations.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for the third quarter of 2026 was US$100.2 million, compared with US$184.5 million in the third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Melco Resorts’ Adjusted Property EBITDA(1) was US$287.6 million in the third quarter of 2026, compared with US$380.4 million in the third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Net income attributable to Melco Resorts &amp; Entertainment Limited for the third quarter of 2026 was US$34 thousand, or US$0.00009 per American depositary share (“ADS”), compared with US$74.7 million, or US$0.19124 per ADS, in the third quarter of 2025. The net loss attributable to noncontrolling interests was US$9.1 million and US$12.6 million during the third quarters of 2026 and 2025, respectively, the majority of which was attributable to Studio City and City of Dreams Mediterranean and Other. </w:t>
      </w:r>
    </w:p>
    <w:p>
      <w:pPr>
        <w:pStyle w:val="TextBody"/>
        <w:bidi w:val="0"/>
        <w:spacing w:before="240" w:after="0"/>
        <w:jc w:val="left"/>
        <w:rPr>
          <w:rFonts w:ascii="Times New Roman" w:hAnsi="Times New Roman"/>
          <w:sz w:val="20"/>
        </w:rPr>
      </w:pPr>
      <w:r>
        <w:rPr>
          <w:rFonts w:ascii="Times New Roman" w:hAnsi="Times New Roman"/>
          <w:sz w:val="20"/>
        </w:rPr>
        <w:t xml:space="preserve">Mr. Lawrence Ho, our Chairman and Chief Executive Officer, commented, “We continue to be confident in the long-term prospects of our businesses in Macau. We are focused on disciplined execution of our strategy to drive strong returns. Our distinctive product portfolio in Macau reflects the best in luxury and innovation. Coupled with the opening of our newly branded hotel REM and the renovation of our retail space at City of Dreams, we believe we are well positioned to capture the demands of our evolving customer base, supporting long-term growth. </w:t>
      </w:r>
    </w:p>
    <w:p>
      <w:pPr>
        <w:pStyle w:val="TextBody"/>
        <w:bidi w:val="0"/>
        <w:spacing w:before="240" w:after="0"/>
        <w:jc w:val="left"/>
      </w:pPr>
      <w:r>
        <w:t>“</w:t>
      </w:r>
      <w:r>
        <w:rPr>
          <w:rFonts w:ascii="Times New Roman" w:hAnsi="Times New Roman"/>
          <w:sz w:val="20"/>
        </w:rPr>
        <w:t xml:space="preserve">In the Philippines and Cyprus, our properties continued to demonstrate resilience despite the ongoing headwinds in those countries and regions. In particular, City of Dreams Mediterranean and our satellite casinos delivered its highest quarterly EBITDA on record.” </w:t>
      </w:r>
    </w:p>
    <w:p>
      <w:pPr>
        <w:pStyle w:val="TextBody"/>
        <w:bidi w:val="0"/>
        <w:spacing w:before="360" w:after="0"/>
        <w:jc w:val="left"/>
        <w:rPr>
          <w:rFonts w:ascii="Times New Roman" w:hAnsi="Times New Roman"/>
          <w:b/>
          <w:sz w:val="20"/>
        </w:rPr>
      </w:pPr>
      <w:r>
        <w:rPr>
          <w:rFonts w:ascii="Times New Roman" w:hAnsi="Times New Roman"/>
          <w:b/>
          <w:sz w:val="20"/>
        </w:rPr>
        <w:t xml:space="preserve">City of Dreams Third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quarter ended September 30, 2026, total operating revenues at City of Dreams were US$566.2 million, compared with US$672.6 million in the third quarter of 2025. City of Dreams’ Adjusted EBITDA was US$130.3 million in the third quarter of 2026, compared with US$206.9 million in the third quarter of 2025. The year-over-year decrease in Adjusted EBITDA was primarily a result of softer rolling chip and mass market table games performance. </w:t>
      </w:r>
    </w:p>
    <w:p>
      <w:pPr>
        <w:pStyle w:val="TextBody"/>
        <w:bidi w:val="0"/>
        <w:spacing w:before="240" w:after="0"/>
        <w:jc w:val="left"/>
        <w:rPr>
          <w:rFonts w:ascii="Times New Roman" w:hAnsi="Times New Roman"/>
          <w:sz w:val="20"/>
        </w:rPr>
      </w:pPr>
      <w:r>
        <w:rPr>
          <w:rFonts w:ascii="Times New Roman" w:hAnsi="Times New Roman"/>
          <w:sz w:val="20"/>
        </w:rPr>
        <w:t xml:space="preserve">Rolling chip volume decreased to US$4.63 billion during the third quarter of 2026, compared with US$5.58 billion in the third quarter of 2025. Win rate was 2.49% in the third quarter of 2026, compared with 3.68% in the third quarter of 2025. The expected rolling chip win rate range is 2.85%-3.15%. </w:t>
      </w:r>
    </w:p>
    <w:p>
      <w:pPr>
        <w:pStyle w:val="TextBody"/>
        <w:bidi w:val="0"/>
        <w:spacing w:before="240" w:after="0"/>
        <w:jc w:val="left"/>
        <w:rPr>
          <w:rFonts w:ascii="Times New Roman" w:hAnsi="Times New Roman"/>
          <w:sz w:val="20"/>
        </w:rPr>
      </w:pPr>
      <w:r>
        <w:rPr>
          <w:rFonts w:ascii="Times New Roman" w:hAnsi="Times New Roman"/>
          <w:sz w:val="20"/>
        </w:rPr>
        <w:t xml:space="preserve">Mass market table games drop decreased to US$1.63 billion in the third quarter of 2026, compared with US$1.66 billion in the third quarter of 2025. Hold percentage was 29.5% in the third quarter of 2026, compared with 29.8% in the third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Gaming machine handle for the third quarter of 2026 was US$1.01 billion, compared with US$1.04 billion in the third quarter of 2025. Win rate was 3.6% in the third quarter of 2026, compared with 3.2% in the third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Total non-gaming revenue at City of Dreams in the third quarter of 2026 was US$88.4 million, compared with US$94.8 million in the third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Studio City Third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quarter ended September 30, 2026, total operating revenues at Studio City were US$346.2 million, compared with US$375.3 million in the third quarter of 2025. Studio City’s Adjusted EBITDA was US$90.6 million in the third quarter of 2026, compared with US$104.7 million in the third quarter of 2025. The year-over-year decrease in Adjusted EBITDA was primarily a result of softer mass market performance. </w:t>
      </w:r>
    </w:p>
    <w:p>
      <w:pPr>
        <w:pStyle w:val="TextBody"/>
        <w:bidi w:val="0"/>
        <w:spacing w:before="240" w:after="0"/>
        <w:jc w:val="left"/>
        <w:rPr>
          <w:rFonts w:ascii="Times New Roman" w:hAnsi="Times New Roman"/>
          <w:sz w:val="20"/>
        </w:rPr>
      </w:pPr>
      <w:r>
        <w:rPr>
          <w:rFonts w:ascii="Times New Roman" w:hAnsi="Times New Roman"/>
          <w:sz w:val="20"/>
        </w:rPr>
        <w:t xml:space="preserve">Mass market table games drop was US$846.3 million in the third quarter of 2026, compared with US$942.5 million in the third quarter of 2025. Hold percentage was 34.3% in the third quarter of 2026, compared with 33.1% in the third quarter of 2025.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pPr>
      <w:r/>
    </w:p>
    <w:p>
      <w:pPr>
        <w:pStyle w:val="TextBody"/>
        <w:bidi w:val="0"/>
        <w:spacing w:before="0" w:after="0"/>
        <w:jc w:val="left"/>
        <w:rPr>
          <w:rFonts w:ascii="Times New Roman" w:hAnsi="Times New Roman"/>
          <w:sz w:val="20"/>
        </w:rPr>
      </w:pPr>
      <w:r>
        <w:rPr>
          <w:rFonts w:ascii="Times New Roman" w:hAnsi="Times New Roman"/>
          <w:sz w:val="20"/>
        </w:rPr>
        <w:t xml:space="preserve">Gaming machine handle for the third quarter of 2026 was US$892.9 million, compared with US$873.3 million in the third quarter of 2025. Win rate was 3.4% in the third quarter of 2026, compared with 3.7% in the third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Total non-gaming revenue at Studio City was US$80.4 million in the third quarter of 2026, compared with US$85.9 million in the third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Altira Macau Third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quarter ended September 30, 2026, total operating revenues at Altira Macau were US$31.3 million, compared with US$25.6 million in the third quarter of 2025. Altira Macau’s negative Adjusted EBITDA was US$0.3 million in the third quarter of 2026, compared with US$0.7 million in the third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Mass market table games drop was US$145.2 million in the third quarter of 2026, compared with US$112.6 million in the third quarter of 2025. Hold percentage was 20.0% in the third quarter of 2026, compared with 19.4% in the third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Gaming machine handle for the third quarter of 2026 was US$240.4 million, compared with US$119.6 million in the third quarter of 2025. Win rate was 2.8% in the third quarter of 2026, compared with 3.1% in the third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Total non-gaming revenue at Altira Macau was US$5.5 million in the third quarter of 2026, compared with US$5.1 million in the third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Mocha Third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fourth quarter of 2025, the Mocha and Other segment included the operations of Grand Dragon Casino before its closure in September 2025. This segment has been renamed to the Mocha segment from the fourth quarter of 2025 onwards. </w:t>
      </w:r>
    </w:p>
    <w:p>
      <w:pPr>
        <w:pStyle w:val="TextBody"/>
        <w:bidi w:val="0"/>
        <w:spacing w:before="200" w:after="0"/>
        <w:jc w:val="left"/>
        <w:rPr>
          <w:rFonts w:ascii="Times New Roman" w:hAnsi="Times New Roman"/>
          <w:sz w:val="20"/>
        </w:rPr>
      </w:pPr>
      <w:r>
        <w:rPr>
          <w:rFonts w:ascii="Times New Roman" w:hAnsi="Times New Roman"/>
          <w:sz w:val="20"/>
        </w:rPr>
        <w:t xml:space="preserve">Following the government mandated closures of three Mocha Clubs ceasing operations from September to December 2025, the Mocha segment now includes results for the remaining three Mocha Clubs, namely Mocha Inner Harbour, Mocha Golden Dragon and Mocha Hotel Sintra. </w:t>
      </w:r>
    </w:p>
    <w:p>
      <w:pPr>
        <w:pStyle w:val="TextBody"/>
        <w:bidi w:val="0"/>
        <w:spacing w:before="200" w:after="0"/>
        <w:jc w:val="left"/>
        <w:rPr>
          <w:rFonts w:ascii="Times New Roman" w:hAnsi="Times New Roman"/>
          <w:sz w:val="20"/>
        </w:rPr>
      </w:pPr>
      <w:r>
        <w:rPr>
          <w:rFonts w:ascii="Times New Roman" w:hAnsi="Times New Roman"/>
          <w:sz w:val="20"/>
        </w:rPr>
        <w:t xml:space="preserve">Total operating revenues from Mocha were US$15.3 million in the third quarter of 2026, compared with US$28.6 million from Mocha and Other in the third quarter of 2025. Mocha’s Adjusted EBITDA was US$4.3 million in the third quarter of 2026, compared with US$5.8 million for Mocha and Other in the third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Gaming machine handle for the third quarter of 2026 was US$386.8 million, compared with US$522.6 million in the third quarter of 2025. Win rate was 4.0% for both third quarters of 2026 and 2025. </w:t>
      </w:r>
    </w:p>
    <w:p>
      <w:pPr>
        <w:pStyle w:val="TextBody"/>
        <w:bidi w:val="0"/>
        <w:spacing w:before="360" w:after="0"/>
        <w:jc w:val="left"/>
        <w:rPr>
          <w:rFonts w:ascii="Times New Roman" w:hAnsi="Times New Roman"/>
          <w:b/>
          <w:sz w:val="20"/>
        </w:rPr>
      </w:pPr>
      <w:r>
        <w:rPr>
          <w:rFonts w:ascii="Times New Roman" w:hAnsi="Times New Roman"/>
          <w:b/>
          <w:sz w:val="20"/>
        </w:rPr>
        <w:t xml:space="preserve">City of Dreams Manila Third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quarter ended September 30, 2026, total operating revenues at City of Dreams Manila were US$99.0 million, compared with US$110.7 million in the third quarter of 2025. City of Dreams Manila’s Adjusted EBITDA was US$32.9 million in the third quarter of 2026, compared with US$41.3 million in the third quarter of 2025. The year-over-year decrease in Adjusted EBITDA was primarily a result of softer performance in all gaming operations. </w:t>
      </w:r>
    </w:p>
    <w:p>
      <w:pPr>
        <w:pStyle w:val="TextBody"/>
        <w:bidi w:val="0"/>
        <w:spacing w:before="200" w:after="0"/>
        <w:jc w:val="left"/>
        <w:rPr>
          <w:rFonts w:ascii="Times New Roman" w:hAnsi="Times New Roman"/>
          <w:sz w:val="20"/>
        </w:rPr>
      </w:pPr>
      <w:r>
        <w:rPr>
          <w:rFonts w:ascii="Times New Roman" w:hAnsi="Times New Roman"/>
          <w:sz w:val="20"/>
        </w:rPr>
        <w:t xml:space="preserve">City of Dreams Manila’s rolling chip volume was US$484.5 million in the third quarter of 2026, compared with US$516.9 million in the third quarter of 2025. Win rate was 4.09% in the third quarter of 2026, compared with 4.37% in the third quarter of 2025. The expected rolling chip win rate range is 2.85%-3.15%. </w:t>
      </w:r>
    </w:p>
    <w:p>
      <w:pPr>
        <w:pStyle w:val="TextBody"/>
        <w:bidi w:val="0"/>
        <w:spacing w:before="200" w:after="0"/>
        <w:jc w:val="left"/>
        <w:rPr>
          <w:rFonts w:ascii="Times New Roman" w:hAnsi="Times New Roman"/>
          <w:sz w:val="20"/>
        </w:rPr>
      </w:pPr>
      <w:r>
        <w:rPr>
          <w:rFonts w:ascii="Times New Roman" w:hAnsi="Times New Roman"/>
          <w:sz w:val="20"/>
        </w:rPr>
        <w:t xml:space="preserve">Mass market table games drop decreased to US$134.9 million in the third quarter of 2026, compared with US$144.1 million in the third quarter of 2025. Hold percentage was 33.6% in the third quarter of 2026, compared with 36.0% in the third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Gaming machine handle for the third quarter of 2026 was US$954.4 million, compared with US$985.7 million in the third quarter of 2025. Win rate was 5.1% for both third quarters of 2026 and 2025. </w:t>
      </w:r>
    </w:p>
    <w:p>
      <w:pPr>
        <w:pStyle w:val="TextBody"/>
        <w:bidi w:val="0"/>
        <w:spacing w:before="200" w:after="0"/>
        <w:jc w:val="left"/>
        <w:rPr>
          <w:rFonts w:ascii="Times New Roman" w:hAnsi="Times New Roman"/>
          <w:sz w:val="20"/>
        </w:rPr>
      </w:pPr>
      <w:r>
        <w:rPr>
          <w:rFonts w:ascii="Times New Roman" w:hAnsi="Times New Roman"/>
          <w:sz w:val="20"/>
        </w:rPr>
        <w:t xml:space="preserve">Total non-gaming revenue at City of Dreams Manila in the third quarter of 2026 was US$22.8 million, compared with US$24.1 million in the third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City of Dreams Mediterranean and Other Third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City of Dreams Mediterranean in conjunction with three satellite casinos in Cyprus. </w:t>
      </w:r>
    </w:p>
    <w:p>
      <w:pPr>
        <w:pStyle w:val="TextBody"/>
        <w:bidi w:val="0"/>
        <w:spacing w:before="200" w:after="0"/>
        <w:jc w:val="left"/>
        <w:rPr>
          <w:rFonts w:ascii="Times New Roman" w:hAnsi="Times New Roman"/>
          <w:sz w:val="20"/>
        </w:rPr>
      </w:pPr>
      <w:r>
        <w:rPr>
          <w:rFonts w:ascii="Times New Roman" w:hAnsi="Times New Roman"/>
          <w:sz w:val="20"/>
        </w:rPr>
        <w:t xml:space="preserve">Total operating revenues at City of Dreams Mediterranean and Other for the quarter ended September 30, 2026 were US$96.7 million, compared with US$85.8 million in the third quarter of 2025. City of Dreams Mediterranean and Other’s Adjusted EBITDA was US$25.7 million in the third quarter of 2026, compared with US$23.2 million in the third quarter of 2025. The year-over-year increase in Adjusted EBITDA was primarily a result of stronger mass market performance.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pPr>
      <w:r/>
    </w:p>
    <w:p>
      <w:pPr>
        <w:pStyle w:val="TextBody"/>
        <w:bidi w:val="0"/>
        <w:spacing w:before="0" w:after="0"/>
        <w:jc w:val="left"/>
        <w:rPr>
          <w:rFonts w:ascii="Times New Roman" w:hAnsi="Times New Roman"/>
          <w:sz w:val="20"/>
        </w:rPr>
      </w:pPr>
      <w:r>
        <w:rPr>
          <w:rFonts w:ascii="Times New Roman" w:hAnsi="Times New Roman"/>
          <w:sz w:val="20"/>
        </w:rPr>
        <w:t xml:space="preserve">Rolling chip volume was US$0.3 million for the third quarter of 2026, compared with US$1.4 million in the third quarter of 2025. Win rate was negative 15.34% in the third quarter of 2026, compared with 6.94% in the third quarter of 2025. The expected rolling chip win rate range is 2.85%-3.15%. The significant movement in the rolling chip win rate resulted from low gaming volumes. </w:t>
      </w:r>
    </w:p>
    <w:p>
      <w:pPr>
        <w:pStyle w:val="TextBody"/>
        <w:bidi w:val="0"/>
        <w:spacing w:before="180" w:after="0"/>
        <w:jc w:val="left"/>
        <w:rPr>
          <w:rFonts w:ascii="Times New Roman" w:hAnsi="Times New Roman"/>
          <w:sz w:val="20"/>
        </w:rPr>
      </w:pPr>
      <w:r>
        <w:rPr>
          <w:rFonts w:ascii="Times New Roman" w:hAnsi="Times New Roman"/>
          <w:sz w:val="20"/>
        </w:rPr>
        <w:t xml:space="preserve">Mass market table games drop was US$220.6 million in the third quarter of 2026, compared with US$188.5 million in the third quarter of 2025. Hold percentage was 22.6% in the third quarter of 2026, compared with 21.8% in the third quarter of 2025. </w:t>
      </w:r>
    </w:p>
    <w:p>
      <w:pPr>
        <w:pStyle w:val="TextBody"/>
        <w:bidi w:val="0"/>
        <w:spacing w:before="180" w:after="0"/>
        <w:jc w:val="left"/>
        <w:rPr>
          <w:rFonts w:ascii="Times New Roman" w:hAnsi="Times New Roman"/>
          <w:sz w:val="20"/>
        </w:rPr>
      </w:pPr>
      <w:r>
        <w:rPr>
          <w:rFonts w:ascii="Times New Roman" w:hAnsi="Times New Roman"/>
          <w:sz w:val="20"/>
        </w:rPr>
        <w:t xml:space="preserve">Gaming machine handle for the third quarter of 2026 was US$759.0 million, compared with US$690.9 million in the third quarter of 2025. Win rate was 5.0% in the third quarter of 2026, compared with 5.3% in the third quarter of 2025. </w:t>
      </w:r>
    </w:p>
    <w:p>
      <w:pPr>
        <w:pStyle w:val="TextBody"/>
        <w:bidi w:val="0"/>
        <w:spacing w:before="180" w:after="0"/>
        <w:jc w:val="left"/>
        <w:rPr>
          <w:rFonts w:ascii="Times New Roman" w:hAnsi="Times New Roman"/>
          <w:sz w:val="20"/>
        </w:rPr>
      </w:pPr>
      <w:r>
        <w:rPr>
          <w:rFonts w:ascii="Times New Roman" w:hAnsi="Times New Roman"/>
          <w:sz w:val="20"/>
        </w:rPr>
        <w:t xml:space="preserve">Total non-gaming revenue at City of Dreams Mediterranean and Other in the third quarter of 2026 was US$33.6 million, compared with US$30.4 million in the third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Other Operations </w:t>
      </w:r>
    </w:p>
    <w:p>
      <w:pPr>
        <w:pStyle w:val="TextBody"/>
        <w:bidi w:val="0"/>
        <w:spacing w:before="120" w:after="0"/>
        <w:jc w:val="left"/>
        <w:rPr>
          <w:rFonts w:ascii="Times New Roman" w:hAnsi="Times New Roman"/>
          <w:sz w:val="20"/>
        </w:rPr>
      </w:pPr>
      <w:r>
        <w:rPr>
          <w:rFonts w:ascii="Times New Roman" w:hAnsi="Times New Roman"/>
          <w:sz w:val="20"/>
        </w:rPr>
        <w:t xml:space="preserve">Other Operations include the Company’s casino operations and provision of management services to the Nüwa hotel at City of Dreams Sri Lanka. </w:t>
      </w:r>
    </w:p>
    <w:p>
      <w:pPr>
        <w:pStyle w:val="TextBody"/>
        <w:bidi w:val="0"/>
        <w:spacing w:before="180" w:after="0"/>
        <w:jc w:val="left"/>
        <w:rPr>
          <w:rFonts w:ascii="Times New Roman" w:hAnsi="Times New Roman"/>
          <w:sz w:val="20"/>
        </w:rPr>
      </w:pPr>
      <w:r>
        <w:rPr>
          <w:rFonts w:ascii="Times New Roman" w:hAnsi="Times New Roman"/>
          <w:sz w:val="20"/>
        </w:rPr>
        <w:t xml:space="preserve">Total operating revenues from Other Operations were US$17.6 million for the quarter ended September 30, 2026, compared with US$6.1 million in the third quarter of 2025. Adjusted EBITDA from Other Operations was US$4.0 million in the third quarter of 2026, compared with negative Adjusted EBITDA of US$0.6 million in the third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Other Factors Affecting Earnings </w:t>
      </w:r>
    </w:p>
    <w:p>
      <w:pPr>
        <w:pStyle w:val="TextBody"/>
        <w:bidi w:val="0"/>
        <w:spacing w:before="120" w:after="0"/>
        <w:jc w:val="left"/>
        <w:rPr>
          <w:rFonts w:ascii="Times New Roman" w:hAnsi="Times New Roman"/>
          <w:sz w:val="20"/>
        </w:rPr>
      </w:pPr>
      <w:r>
        <w:rPr>
          <w:rFonts w:ascii="Times New Roman" w:hAnsi="Times New Roman"/>
          <w:sz w:val="20"/>
        </w:rPr>
        <w:t xml:space="preserve">Total net non-operating expenses for the third quarter of 2026 were US$107.7 million, which mainly included interest expense, net of amounts capitalized, of US$110.8 million, partially offset by net foreign exchange gains of US$3.7 million. </w:t>
      </w:r>
    </w:p>
    <w:p>
      <w:pPr>
        <w:pStyle w:val="TextBody"/>
        <w:bidi w:val="0"/>
        <w:spacing w:before="180" w:after="0"/>
        <w:jc w:val="left"/>
        <w:rPr>
          <w:rFonts w:ascii="Times New Roman" w:hAnsi="Times New Roman"/>
          <w:sz w:val="20"/>
        </w:rPr>
      </w:pPr>
      <w:r>
        <w:rPr>
          <w:rFonts w:ascii="Times New Roman" w:hAnsi="Times New Roman"/>
          <w:sz w:val="20"/>
        </w:rPr>
        <w:t xml:space="preserve">Depreciation and amortization costs of US$138.3 million were recorded in the third quarter of 2026, of which US$5.0 million related to the amortization expense for land use rights. </w:t>
      </w:r>
    </w:p>
    <w:p>
      <w:pPr>
        <w:pStyle w:val="TextBody"/>
        <w:bidi w:val="0"/>
        <w:spacing w:before="180" w:after="0"/>
        <w:jc w:val="left"/>
        <w:rPr>
          <w:rFonts w:ascii="Times New Roman" w:hAnsi="Times New Roman"/>
          <w:sz w:val="20"/>
        </w:rPr>
      </w:pPr>
      <w:r>
        <w:rPr>
          <w:rFonts w:ascii="Times New Roman" w:hAnsi="Times New Roman"/>
          <w:sz w:val="20"/>
        </w:rPr>
        <w:t xml:space="preserve">Adjusted EBITDA for Studio City for the three months ended September 30, 2026 referred to above was US$25.0 million more than the Adjusted EBITDA of Studio City reported in the earnings release for Studio City International Holdings Limited (“SCIHL”) dated November 4, 2026 (the “Studio City Earnings Release”). Adjusted EBITDA of Studio City reported in the Studio City Earnings Release includes certain intercompany charges that are not included in Adjusted EBITDA for Studio City reported in this press release. Such intercompany charges include, among other items, fees and shared service charges billed between SCIHL and its subsidiaries and certain subsidiaries of Melco Resorts. Additionally, Adjusted EBITDA of Studio City presented in this press release does not reflect certain gaming concession related costs and certain intercompany costs related to the gaming operations at Studio City Casino.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Position and 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Total cash and bank balances as of September 30, 2026 aggregated to US$886.6 million, including US$124.2 million of restricted cash. </w:t>
      </w:r>
    </w:p>
    <w:p>
      <w:pPr>
        <w:pStyle w:val="TextBody"/>
        <w:bidi w:val="0"/>
        <w:spacing w:before="180" w:after="0"/>
        <w:jc w:val="left"/>
        <w:rPr>
          <w:rFonts w:ascii="Times New Roman" w:hAnsi="Times New Roman"/>
          <w:sz w:val="20"/>
        </w:rPr>
      </w:pPr>
      <w:r>
        <w:rPr>
          <w:rFonts w:ascii="Times New Roman" w:hAnsi="Times New Roman"/>
          <w:sz w:val="20"/>
        </w:rPr>
        <w:t xml:space="preserve">Total debt, net of unamortized deferred financing costs and original issue premiums, was US$6.98 billion at the end of the third quarter of 2026. </w:t>
      </w:r>
    </w:p>
    <w:p>
      <w:pPr>
        <w:pStyle w:val="TextBody"/>
        <w:bidi w:val="0"/>
        <w:spacing w:before="180" w:after="0"/>
        <w:jc w:val="left"/>
        <w:rPr>
          <w:rFonts w:ascii="Times New Roman" w:hAnsi="Times New Roman"/>
          <w:sz w:val="20"/>
        </w:rPr>
      </w:pPr>
      <w:r>
        <w:rPr>
          <w:rFonts w:ascii="Times New Roman" w:hAnsi="Times New Roman"/>
          <w:sz w:val="20"/>
        </w:rPr>
        <w:t xml:space="preserve">On July 18, 2026, Studio City Finance Limited redeemed an aggregate principal amount of US$165.0 million of its outstanding 6.500% senior notes due 2028 pursuant to the notice of partial redemption dated June 18, 2026. The redemption was funded with a HK$1.18 billion (equivalent to US$150.5 million) drawdown from the senior secured credit facility of Studio City Company Limited (“SCC”) on July 15, 2026 and cash on hand. </w:t>
      </w:r>
    </w:p>
    <w:p>
      <w:pPr>
        <w:pStyle w:val="TextBody"/>
        <w:bidi w:val="0"/>
        <w:spacing w:before="180" w:after="0"/>
        <w:jc w:val="left"/>
        <w:rPr>
          <w:rFonts w:ascii="Times New Roman" w:hAnsi="Times New Roman"/>
          <w:sz w:val="20"/>
        </w:rPr>
      </w:pPr>
      <w:r>
        <w:rPr>
          <w:rFonts w:ascii="Times New Roman" w:hAnsi="Times New Roman"/>
          <w:sz w:val="20"/>
        </w:rPr>
        <w:t xml:space="preserve">On September 23, 2026, Melco Resorts Finance Limited early redeemed its outstanding aggregate principal amount of US$600.0 million of its 5.625% senior notes due 2027. The redemption in full was funded with a HK$4.71 billion (equivalent to US$600.3 million) drawdown from the revolving credit facilities of MCO Nominee One Limited (the “MN1 2020 Revolving Facilities”) on September 21, 2026. </w:t>
      </w:r>
    </w:p>
    <w:p>
      <w:pPr>
        <w:pStyle w:val="TextBody"/>
        <w:bidi w:val="0"/>
        <w:spacing w:before="180" w:after="0"/>
        <w:jc w:val="left"/>
        <w:rPr>
          <w:rFonts w:ascii="Times New Roman" w:hAnsi="Times New Roman"/>
          <w:sz w:val="20"/>
        </w:rPr>
      </w:pPr>
      <w:r>
        <w:rPr>
          <w:rFonts w:ascii="Times New Roman" w:hAnsi="Times New Roman"/>
          <w:sz w:val="20"/>
        </w:rPr>
        <w:t xml:space="preserve">During the quarter ended September 30, 2026, MCO Nominee One Limited drew down HK$4.36 billion (equivalent to US$555.0 million) in aggregate principal amount on a net basis under the MN1 2020 Revolving Facilities and SCC drew down HK$1.06 billion (equivalent to US$135.4 million) in aggregate principal amount on a net basis under its senior secured credit facility. </w:t>
      </w:r>
    </w:p>
    <w:p>
      <w:pPr>
        <w:pStyle w:val="TextBody"/>
        <w:bidi w:val="0"/>
        <w:spacing w:before="180" w:after="0"/>
        <w:jc w:val="left"/>
        <w:rPr>
          <w:rFonts w:ascii="Times New Roman" w:hAnsi="Times New Roman"/>
          <w:sz w:val="20"/>
        </w:rPr>
      </w:pPr>
      <w:r>
        <w:rPr>
          <w:rFonts w:ascii="Times New Roman" w:hAnsi="Times New Roman"/>
          <w:sz w:val="20"/>
        </w:rPr>
        <w:t xml:space="preserve">Subsequent to quarter end, on October 28, 2026, MCO Nominee One Limited drew down HK$118.0 million (equivalent to US$15.0 million) principal amount under the MN1 2020 Revolving Facilities. </w:t>
      </w:r>
    </w:p>
    <w:p>
      <w:pPr>
        <w:pStyle w:val="TextBody"/>
        <w:bidi w:val="0"/>
        <w:spacing w:before="180" w:after="0"/>
        <w:jc w:val="left"/>
        <w:rPr>
          <w:rFonts w:ascii="Times New Roman" w:hAnsi="Times New Roman"/>
          <w:sz w:val="20"/>
        </w:rPr>
      </w:pPr>
      <w:r>
        <w:rPr>
          <w:rFonts w:ascii="Times New Roman" w:hAnsi="Times New Roman"/>
          <w:sz w:val="20"/>
        </w:rPr>
        <w:t xml:space="preserve">Available liquidity, including cash and undrawn revolving credit facilities as of September 30, 2026, was approximately US$1.95 billion. </w:t>
      </w:r>
    </w:p>
    <w:p>
      <w:pPr>
        <w:pStyle w:val="TextBody"/>
        <w:bidi w:val="0"/>
        <w:spacing w:before="180" w:after="0"/>
        <w:jc w:val="left"/>
        <w:rPr>
          <w:rFonts w:ascii="Times New Roman" w:hAnsi="Times New Roman"/>
          <w:sz w:val="20"/>
        </w:rPr>
      </w:pPr>
      <w:r>
        <w:rPr>
          <w:rFonts w:ascii="Times New Roman" w:hAnsi="Times New Roman"/>
          <w:sz w:val="20"/>
        </w:rPr>
        <w:t xml:space="preserve">Capital expenditures for the third quarter of 2026 were US$83.0 million, which mainly included costs related to enhancement projects at City of Dreams in Macau, City of Dreams Mediterranean and Other, as well as Studio City.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pPr>
      <w:r/>
    </w:p>
    <w:p>
      <w:pPr>
        <w:pStyle w:val="TextBody"/>
        <w:bidi w:val="0"/>
        <w:spacing w:before="0" w:after="0"/>
        <w:jc w:val="left"/>
        <w:rPr>
          <w:rFonts w:ascii="Times New Roman" w:hAnsi="Times New Roman"/>
          <w:b/>
          <w:sz w:val="20"/>
        </w:rPr>
      </w:pPr>
      <w:r>
        <w:rPr>
          <w:rFonts w:ascii="Times New Roman" w:hAnsi="Times New Roman"/>
          <w:b/>
          <w:sz w:val="20"/>
        </w:rPr>
        <w:t xml:space="preserve">Share Repurchase Programs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 from July 1, 2026 to November 3, 2026, Melco Resorts repurchased approximately 33.1 million ADSs (representing approximately 99.2 million ordinary shares) from the open market at an aggregate purchase price of approximately US$160.0 million. As of November 3, 2026, the Company has remaining authority to repurchase up to approximately US$487.0 million of its equity.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The land concession for the land on which Studio City is located was renewed for a term of ten years from October 17, 2026 to October 16, 2036 pursuant to the payment of a special contribution in the amount of MOP85.7 million (equivalent to US$10.6 million).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Melco Resorts &amp; Entertainment Limited will hold a conference call to discuss its third quarter 2026 financial results on Wednesday, November 4, 2026 at 8:30 a.m. Eastern Time (or 9:30 p.m. Singapore Time). </w:t>
      </w:r>
    </w:p>
    <w:p>
      <w:pPr>
        <w:pStyle w:val="TextBody"/>
        <w:bidi w:val="0"/>
        <w:spacing w:before="240" w:after="0"/>
        <w:jc w:val="left"/>
        <w:rPr>
          <w:rFonts w:ascii="Times New Roman" w:hAnsi="Times New Roman"/>
          <w:sz w:val="20"/>
        </w:rPr>
      </w:pPr>
      <w:r>
        <w:rPr>
          <w:rFonts w:ascii="Times New Roman" w:hAnsi="Times New Roman"/>
          <w:sz w:val="20"/>
        </w:rPr>
        <w:t xml:space="preserve">To join the conference call, please register in advance using the below Online Registration Link. Upon registering, each participant will receive the dial-in numbers, passcode and a unique Personal PIN which can be used to join the conference. </w:t>
      </w:r>
    </w:p>
    <w:p>
      <w:pPr>
        <w:pStyle w:val="TextBody"/>
        <w:bidi w:val="0"/>
        <w:spacing w:before="240" w:after="0"/>
        <w:jc w:val="left"/>
        <w:rPr>
          <w:rFonts w:ascii="Times New Roman" w:hAnsi="Times New Roman"/>
          <w:sz w:val="20"/>
        </w:rPr>
      </w:pPr>
      <w:r>
        <w:rPr>
          <w:rFonts w:ascii="Times New Roman" w:hAnsi="Times New Roman"/>
          <w:sz w:val="20"/>
        </w:rPr>
        <w:t xml:space="preserve">Online Registration Link: </w:t>
      </w:r>
      <w:r>
        <w:rPr>
          <w:rFonts w:ascii="Times New Roman" w:hAnsi="Times New Roman"/>
          <w:sz w:val="20"/>
          <w:u w:val="single"/>
        </w:rPr>
        <w:t>https://s1.c-conf.com/diamondpass/10057839-p2o4ar.html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 audio webcast and replay of the conference call will also be available at </w:t>
      </w:r>
      <w:r>
        <w:rPr>
          <w:rFonts w:ascii="Times New Roman" w:hAnsi="Times New Roman"/>
          <w:sz w:val="20"/>
          <w:u w:val="single"/>
        </w:rPr>
        <w:t>http://www.melco-resorts.com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These statements are made under the “safe harbor” provisions of the U.S. Private Securities Litigation Reform Act of 1995. Melco Resorts &amp; Entertainment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the Philippines, the Republic of Cyprus and Sri Lanka,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w:t>
            </w:r>
          </w:p>
        </w:tc>
        <w:tc>
          <w:tcPr>
            <w:tcW w:w="9798" w:type="dxa"/>
            <w:tcBorders/>
          </w:tcPr>
          <w:p>
            <w:pPr>
              <w:pStyle w:val="TableContents"/>
              <w:bidi w:val="0"/>
              <w:spacing w:before="0" w:after="0"/>
              <w:jc w:val="left"/>
            </w:pPr>
            <w:r>
              <w:t>“</w:t>
            </w:r>
            <w:r>
              <w:rPr>
                <w:rFonts w:ascii="Times New Roman" w:hAnsi="Times New Roman"/>
                <w:sz w:val="20"/>
              </w:rPr>
              <w:t xml:space="preserve">Adjusted EBITDA” is net income/loss before interest, taxes, depreciation, amortization, pre-opening costs, development costs, property charges and other, share-based compensation, payments to the Philippine parties under the cooperative arrangement (the “Philippine Parties”), integrated resort and casino rent and other non-operating income and expenses. “Adjusted Property EBITDA” is net income/loss before interest, taxes, depreciation, amortization, pre-opening costs, development costs, property charges and other, share-based compensation, payments to the Philippine Parties, integrated resort and casino rent, Corporate and Other expenses and other non-operating income and expenses. Adjusted EBITDA and Adjusted Property EBITDA, which are non-GAAP financial measures, are presented as supplemental disclosures because management believes they are widely used to measure the performance, and as a basis for valuation, of gaming companies. Management uses Adjusted EBITDA and Adjusted Property EBITDA to measure the operating performance of our segments and to compare the operating performance of our properties with those of our competitors.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also presents Adjusted EBITDA and Adjusted Property EBITDA because they are used by some investors as ways to measure a company’s ability to incur and service debt, make capital expenditures, and meet working capital requirements. Gaming companies have historically reported similar measures as supplements to financial measures in accordance with generally accepted accounting principles, in particular, U.S. GAAP or International Financial Reporting Standards. However, Adjusted EBITDA and Adjusted Property EBITDA should not be considered as alternatives to operating income/loss as indicators of the Company’s performance, as alternatives to cash flows from operating activities as measures of liquidity, or as alternatives to any other measure determined in accordance with U.S. GAAP. Unlike net income/loss, Adjusted EBITDA and Adjusted Property EBITDA do not include depreciation and amortization or interest expense and, therefore, do not reflect current or future capital expenditures or the cost of capital. The Company recognizes these limitations and uses Adjusted EBITDA and Adjusted Property EBITDA as only two of several comparative tools, together with U.S. GAAP measurements, to assist in the evaluation of operating performance.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pPr>
      <w:r/>
    </w:p>
    <w:p>
      <w:pPr>
        <w:pStyle w:val="TextBody"/>
        <w:bidi w:val="0"/>
        <w:spacing w:before="0" w:after="0"/>
        <w:jc w:val="left"/>
        <w:rPr>
          <w:rFonts w:ascii="Times New Roman" w:hAnsi="Times New Roman"/>
          <w:sz w:val="20"/>
        </w:rPr>
      </w:pPr>
      <w:r>
        <w:rPr>
          <w:rFonts w:ascii="Times New Roman" w:hAnsi="Times New Roman"/>
          <w:sz w:val="20"/>
        </w:rPr>
        <w:t xml:space="preserve">Such U.S. GAAP measurements include operating income/loss, net income/loss, cash flows from operations and cash flow data. The Company has significant uses of cash flows, including capital expenditures, interest payments, debt principal repayments, taxes and other recurring and nonrecurring charges, which are not reflected in Adjusted EBITDA or Adjusted Property EBITDA. Also, the Company’s calculation of Adjusted EBITDA and Adjusted Property EBITDA may be different from the calculation methods used by other companies and, therefore, comparability may be limited. The use of Adjusted Property EBITDA and Adjusted EBITDA has material limitations as an analytical tool, as Adjusted Property EBITDA and Adjusted EBITDA do not include all items that impact our net income/loss. Investors are encouraged to review the reconciliation of the historical non-GAAP financial measure to its most directly comparable GAAP financial measure. Reconciliations of Adjusted EBITDA and Adjusted Property EBITDA with the most comparable financial measures calculated and presented in accordance with U.S. GAAP are provided herein immediately following the financial statements included in this press release.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(2)</w:t>
            </w:r>
          </w:p>
        </w:tc>
        <w:tc>
          <w:tcPr>
            <w:tcW w:w="9798" w:type="dxa"/>
            <w:tcBorders/>
          </w:tcPr>
          <w:p>
            <w:pPr>
              <w:pStyle w:val="TableContents"/>
              <w:bidi w:val="0"/>
              <w:spacing w:before="0" w:after="0"/>
              <w:jc w:val="left"/>
            </w:pPr>
            <w:r>
              <w:t>“</w:t>
            </w:r>
            <w:r>
              <w:rPr>
                <w:rFonts w:ascii="Times New Roman" w:hAnsi="Times New Roman"/>
                <w:sz w:val="20"/>
              </w:rPr>
              <w:t xml:space="preserve">Adjusted net income/loss attributable to Melco Resorts &amp; Entertainment Limited” is net income/loss attributable to Melco Resorts &amp; Entertainment Limited before pre-opening costs, development costs, property charges and other and loss on extinguishment of debt, net of noncontrolling interests and taxes calculated using specific tax treatments applicable to the adjustments based on their respective jurisdictions. Adjusted net income/loss attributable to Melco Resorts &amp; Entertainment Limited and adjusted net income/loss attributable to Melco Resorts &amp; Entertainment Limited per share (“EPS”), which are non-GAAP financial measures, are presented as supplemental disclosures because management believes they are widely used to measure the performance, and as a basis for valuation, of gaming companies. These measures are used by management and/or evaluated by some investors, in addition to income/loss and EPS computed in accordance with U.S. GAAP, as an additional basis for assessing period-to-period results of our business. Adjusted net income/loss attributable to Melco Resorts &amp; Entertainment Limited and adjusted net income/loss attributable to Melco Resorts &amp; Entertainment Limited per share may be different from the calculation methods used by other companies and, therefore, comparability may be limited. Reconciliations of adjusted net income/loss attributable to Melco Resorts &amp; Entertainment Limited with the most comparable financial measures calculated and presented in accordance with U.S. GAAP are provided herein immediately following the financial statements included in this press release.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Melco Resorts &amp; Entertainment Limited </w:t>
      </w:r>
    </w:p>
    <w:p>
      <w:pPr>
        <w:pStyle w:val="TextBody"/>
        <w:bidi w:val="0"/>
        <w:spacing w:before="120" w:after="0"/>
        <w:jc w:val="left"/>
        <w:rPr>
          <w:rFonts w:ascii="Times New Roman" w:hAnsi="Times New Roman"/>
          <w:sz w:val="20"/>
        </w:rPr>
      </w:pPr>
      <w:r>
        <w:rPr>
          <w:rFonts w:ascii="Times New Roman" w:hAnsi="Times New Roman"/>
          <w:sz w:val="20"/>
        </w:rPr>
        <w:t>The Company, with its American depositary shares listed on the Nasdaq Global Select Market (Nasdaq: MLCO), is a developer, owner and operator of integrated resort facilities in Asia and Europe. The Company currently operates City of Dreams (</w:t>
      </w:r>
      <w:r>
        <w:rPr>
          <w:rFonts w:ascii="Times New Roman" w:hAnsi="Times New Roman"/>
          <w:sz w:val="20"/>
          <w:u w:val="single"/>
        </w:rPr>
        <w:t>www.cityofdreamsmacau.com</w:t>
      </w:r>
      <w:r>
        <w:rPr>
          <w:rFonts w:ascii="Times New Roman" w:hAnsi="Times New Roman"/>
          <w:sz w:val="20"/>
        </w:rPr>
        <w:t>) and Altira Macau (</w:t>
      </w:r>
      <w:r>
        <w:rPr>
          <w:rFonts w:ascii="Times New Roman" w:hAnsi="Times New Roman"/>
          <w:sz w:val="20"/>
          <w:u w:val="single"/>
        </w:rPr>
        <w:t>www.altiramacau.com</w:t>
      </w:r>
      <w:r>
        <w:rPr>
          <w:rFonts w:ascii="Times New Roman" w:hAnsi="Times New Roman"/>
          <w:sz w:val="20"/>
        </w:rPr>
        <w:t>), integrated resorts located in Cotai and Taipa, Macau, respectively. Its business also includes the Mocha Clubs (</w:t>
      </w:r>
      <w:r>
        <w:rPr>
          <w:rFonts w:ascii="Times New Roman" w:hAnsi="Times New Roman"/>
          <w:sz w:val="20"/>
          <w:u w:val="single"/>
        </w:rPr>
        <w:t>www.mochaclubs.com</w:t>
      </w:r>
      <w:r>
        <w:rPr>
          <w:rFonts w:ascii="Times New Roman" w:hAnsi="Times New Roman"/>
          <w:sz w:val="20"/>
        </w:rPr>
        <w:t>), the only non-casino based operation of electronic gaming machines in Macau. In addition, the Company operates Studio City (</w:t>
      </w:r>
      <w:r>
        <w:rPr>
          <w:rFonts w:ascii="Times New Roman" w:hAnsi="Times New Roman"/>
          <w:sz w:val="20"/>
          <w:u w:val="single"/>
        </w:rPr>
        <w:t>www.studiocity-macau.com</w:t>
      </w:r>
      <w:r>
        <w:rPr>
          <w:rFonts w:ascii="Times New Roman" w:hAnsi="Times New Roman"/>
          <w:sz w:val="20"/>
        </w:rPr>
        <w:t>), a cinematically-themed integrated resort in Cotai, Macau. In the Philippines, the Company operates and manages City of Dreams Manila (</w:t>
      </w:r>
      <w:r>
        <w:rPr>
          <w:rFonts w:ascii="Times New Roman" w:hAnsi="Times New Roman"/>
          <w:sz w:val="20"/>
          <w:u w:val="single"/>
        </w:rPr>
        <w:t>www.cityofdreamsmanila.com</w:t>
      </w:r>
      <w:r>
        <w:rPr>
          <w:rFonts w:ascii="Times New Roman" w:hAnsi="Times New Roman"/>
          <w:sz w:val="20"/>
        </w:rPr>
        <w:t>), an integrated resort in the Entertainment City complex in Manila. In Europe, the Company operates City of Dreams Mediterranean, an integrated resort in Limassol, in the Republic of Cyprus (</w:t>
      </w:r>
      <w:r>
        <w:rPr>
          <w:rFonts w:ascii="Times New Roman" w:hAnsi="Times New Roman"/>
          <w:sz w:val="20"/>
          <w:u w:val="single"/>
        </w:rPr>
        <w:t>www.cityofdreamsmed.com.cy</w:t>
      </w:r>
      <w:r>
        <w:rPr>
          <w:rFonts w:ascii="Times New Roman" w:hAnsi="Times New Roman"/>
          <w:sz w:val="20"/>
        </w:rPr>
        <w:t>) and licensed satellite casinos in other cities in Cyprus (the “Cyprus Casinos”). In South Asia, the Company operates the casino and manages the Nüwa hotel at City of Dreams Sri Lanka (</w:t>
      </w:r>
      <w:r>
        <w:rPr>
          <w:rFonts w:ascii="Times New Roman" w:hAnsi="Times New Roman"/>
          <w:sz w:val="20"/>
          <w:u w:val="single"/>
        </w:rPr>
        <w:t>www.cityofdreamssrilanka.com</w:t>
      </w:r>
      <w:r>
        <w:rPr>
          <w:rFonts w:ascii="Times New Roman" w:hAnsi="Times New Roman"/>
          <w:sz w:val="20"/>
        </w:rPr>
        <w:t xml:space="preserve">), an integrated resort in Colombo, Sri Lanka. For more information about the Company, please visit </w:t>
      </w:r>
      <w:r>
        <w:rPr>
          <w:rFonts w:ascii="Times New Roman" w:hAnsi="Times New Roman"/>
          <w:sz w:val="20"/>
          <w:u w:val="single"/>
        </w:rPr>
        <w:t>www.melco-resorts.com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majority owned by Melco International Development Limited, a company listed on the Main Board of The Stock Exchange of Hong Kong Limited, which is in turn majority owned and led by Mr. Lawrence Ho, who is the Chairman, Executive Director and Chief Executive Officer of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For the investment community, please contact: </w:t>
      </w:r>
    </w:p>
    <w:p>
      <w:pPr>
        <w:pStyle w:val="TextBody"/>
        <w:bidi w:val="0"/>
        <w:spacing w:before="0" w:after="0"/>
        <w:jc w:val="left"/>
        <w:rPr>
          <w:rFonts w:ascii="Times New Roman" w:hAnsi="Times New Roman"/>
          <w:sz w:val="20"/>
        </w:rPr>
      </w:pPr>
      <w:r>
        <w:rPr>
          <w:rFonts w:ascii="Times New Roman" w:hAnsi="Times New Roman"/>
          <w:sz w:val="20"/>
        </w:rPr>
        <w:t xml:space="preserve">Jeanny Kim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Group Treasurer </w:t>
      </w:r>
    </w:p>
    <w:p>
      <w:pPr>
        <w:pStyle w:val="TextBody"/>
        <w:bidi w:val="0"/>
        <w:spacing w:before="0" w:after="0"/>
        <w:jc w:val="left"/>
        <w:rPr>
          <w:rFonts w:ascii="Times New Roman" w:hAnsi="Times New Roman"/>
          <w:sz w:val="20"/>
        </w:rPr>
      </w:pPr>
      <w:r>
        <w:rPr>
          <w:rFonts w:ascii="Times New Roman" w:hAnsi="Times New Roman"/>
          <w:sz w:val="20"/>
        </w:rPr>
        <w:t xml:space="preserve">Tel: +852 2598 3698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jeannykim@melco-resorts.com</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For media enquiries, please contact: </w:t>
      </w:r>
    </w:p>
    <w:p>
      <w:pPr>
        <w:pStyle w:val="TextBody"/>
        <w:bidi w:val="0"/>
        <w:spacing w:before="0" w:after="0"/>
        <w:jc w:val="left"/>
        <w:rPr>
          <w:rFonts w:ascii="Times New Roman" w:hAnsi="Times New Roman"/>
          <w:sz w:val="20"/>
        </w:rPr>
      </w:pPr>
      <w:r>
        <w:rPr>
          <w:rFonts w:ascii="Times New Roman" w:hAnsi="Times New Roman"/>
          <w:sz w:val="20"/>
        </w:rPr>
        <w:t xml:space="preserve">Chimmy Leung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Tel: +852 3151 3765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chimmyleung@melco-resorts.com</w:t>
      </w:r>
      <w:r>
        <w:rPr>
          <w:rFonts w:ascii="Times New Roman" w:hAnsi="Times New Roman"/>
          <w:sz w:val="20"/>
        </w:rPr>
        <w:t xml:space="preserv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p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3126"/>
        <w:gridCol w:w="72"/>
        <w:gridCol w:w="140"/>
        <w:gridCol w:w="1401"/>
        <w:gridCol w:w="155"/>
        <w:gridCol w:w="72"/>
        <w:gridCol w:w="140"/>
        <w:gridCol w:w="1401"/>
        <w:gridCol w:w="155"/>
        <w:gridCol w:w="72"/>
        <w:gridCol w:w="140"/>
        <w:gridCol w:w="1401"/>
        <w:gridCol w:w="155"/>
        <w:gridCol w:w="72"/>
        <w:gridCol w:w="140"/>
        <w:gridCol w:w="1401"/>
        <w:gridCol w:w="162"/>
      </w:tblGrid>
      <w:tr>
        <w:tc>
          <w:tcPr>
            <w:tcW w:w="3126"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126"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309" w:type="dxa"/>
            <w:gridSpan w:val="6"/>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309" w:type="dxa"/>
            <w:gridSpan w:val="6"/>
            <w:tcBorders/>
            <w:vAlign w:val="bottom"/>
          </w:tcPr>
          <w:p>
            <w:pPr>
              <w:pStyle w:val="TableContents"/>
              <w:bidi w:val="0"/>
              <w:spacing w:before="0" w:after="283"/>
              <w:jc w:val="center"/>
              <w:rPr>
                <w:b/>
              </w:rPr>
            </w:pPr>
            <w:r>
              <w:rPr>
                <w:b/>
              </w:rPr>
              <w:t>Nine Months Ended</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309" w:type="dxa"/>
            <w:gridSpan w:val="6"/>
            <w:tcBorders/>
            <w:vAlign w:val="bottom"/>
          </w:tcPr>
          <w:p>
            <w:pPr>
              <w:pStyle w:val="TableContents"/>
              <w:bidi w:val="0"/>
              <w:spacing w:before="0" w:after="283"/>
              <w:jc w:val="center"/>
              <w:rPr>
                <w:b/>
              </w:rPr>
            </w:pPr>
            <w:r>
              <w:rPr>
                <w:b/>
              </w:rPr>
              <w:t>September 30,</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309" w:type="dxa"/>
            <w:gridSpan w:val="6"/>
            <w:tcBorders/>
            <w:vAlign w:val="bottom"/>
          </w:tcPr>
          <w:p>
            <w:pPr>
              <w:pStyle w:val="TableContents"/>
              <w:bidi w:val="0"/>
              <w:spacing w:before="0" w:after="283"/>
              <w:jc w:val="center"/>
              <w:rPr>
                <w:b/>
              </w:rPr>
            </w:pPr>
            <w:r>
              <w:rPr>
                <w:b/>
              </w:rPr>
              <w:t>September 30,</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Casino</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939,192</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1,061,469</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3,124,625</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3,181,389</w:t>
            </w:r>
          </w:p>
        </w:tc>
        <w:tc>
          <w:tcPr>
            <w:tcW w:w="162" w:type="dxa"/>
            <w:tcBorders/>
            <w:vAlign w:val="bottom"/>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122,523</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118,577</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343,284</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332,634</w:t>
            </w:r>
          </w:p>
        </w:tc>
        <w:tc>
          <w:tcPr>
            <w:tcW w:w="162" w:type="dxa"/>
            <w:tcBorders/>
            <w:shd w:fill="CCEEFF" w:val="clear"/>
            <w:vAlign w:val="bottom"/>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71,197</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73,270</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203,660</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219,766</w:t>
            </w:r>
          </w:p>
        </w:tc>
        <w:tc>
          <w:tcPr>
            <w:tcW w:w="162" w:type="dxa"/>
            <w:tcBorders/>
            <w:vAlign w:val="bottom"/>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Entertainment, retail and other</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40,603</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56,191</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120,858</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136,237</w:t>
            </w:r>
          </w:p>
        </w:tc>
        <w:tc>
          <w:tcPr>
            <w:tcW w:w="162" w:type="dxa"/>
            <w:tcBorders/>
            <w:shd w:fill="CCEEFF" w:val="clear"/>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1,173,515</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1,309,507</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3,792,427</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3,870,026</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 and expenses:</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Casino</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(625,100</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(674,624</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(2,046,454</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(2,033,228</w:t>
            </w:r>
          </w:p>
        </w:tc>
        <w:tc>
          <w:tcPr>
            <w:tcW w:w="162" w:type="dxa"/>
            <w:tcBorders/>
            <w:vAlign w:val="bottom"/>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(41,290</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(38,623</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(120,247</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(111,186</w:t>
            </w:r>
          </w:p>
        </w:tc>
        <w:tc>
          <w:tcPr>
            <w:tcW w:w="162" w:type="dxa"/>
            <w:tcBorders/>
            <w:shd w:fill="CCEEFF" w:val="clear"/>
            <w:vAlign w:val="bottom"/>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(62,874</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(60,041</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(185,480</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(181,779</w:t>
            </w:r>
          </w:p>
        </w:tc>
        <w:tc>
          <w:tcPr>
            <w:tcW w:w="162" w:type="dxa"/>
            <w:tcBorders/>
            <w:vAlign w:val="bottom"/>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Entertainment, retail and other</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(26,864</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(27,560</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(73,549</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(74,078</w:t>
            </w:r>
          </w:p>
        </w:tc>
        <w:tc>
          <w:tcPr>
            <w:tcW w:w="162" w:type="dxa"/>
            <w:tcBorders/>
            <w:shd w:fill="CCEEFF" w:val="clear"/>
            <w:vAlign w:val="bottom"/>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(165,423</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(167,005</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(511,281</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(480,449</w:t>
            </w:r>
          </w:p>
        </w:tc>
        <w:tc>
          <w:tcPr>
            <w:tcW w:w="162" w:type="dxa"/>
            <w:tcBorders/>
            <w:vAlign w:val="bottom"/>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to the Philippine Parties</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(8,155</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(10,213</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(24,292</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(28,514</w:t>
            </w:r>
          </w:p>
        </w:tc>
        <w:tc>
          <w:tcPr>
            <w:tcW w:w="162" w:type="dxa"/>
            <w:tcBorders/>
            <w:shd w:fill="CCEEFF" w:val="clear"/>
            <w:vAlign w:val="bottom"/>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(1,676</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(7,393</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(3,269</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(50,416</w:t>
            </w:r>
          </w:p>
        </w:tc>
        <w:tc>
          <w:tcPr>
            <w:tcW w:w="162" w:type="dxa"/>
            <w:tcBorders/>
            <w:vAlign w:val="bottom"/>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(1,706</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(996</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(4,134</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(6,266</w:t>
            </w:r>
          </w:p>
        </w:tc>
        <w:tc>
          <w:tcPr>
            <w:tcW w:w="162" w:type="dxa"/>
            <w:tcBorders/>
            <w:shd w:fill="CCEEFF" w:val="clear"/>
            <w:vAlign w:val="bottom"/>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land use rights</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(4,962</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(4,984</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(14,903</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(14,966</w:t>
            </w:r>
          </w:p>
        </w:tc>
        <w:tc>
          <w:tcPr>
            <w:tcW w:w="162" w:type="dxa"/>
            <w:tcBorders/>
            <w:vAlign w:val="bottom"/>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(133,347</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(133,323</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(400,140</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(387,687</w:t>
            </w:r>
          </w:p>
        </w:tc>
        <w:tc>
          <w:tcPr>
            <w:tcW w:w="162" w:type="dxa"/>
            <w:tcBorders/>
            <w:shd w:fill="CCEEFF" w:val="clear"/>
            <w:vAlign w:val="bottom"/>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(1,902</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(234</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(1,705</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(47,420</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costs and expenses</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(1,073,299</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(1,124,996</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(3,385,454</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(3,415,989</w:t>
            </w:r>
          </w:p>
        </w:tc>
        <w:tc>
          <w:tcPr>
            <w:tcW w:w="162" w:type="dxa"/>
            <w:tcBorders/>
            <w:shd w:fill="CCEEFF" w:val="clear"/>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100,216</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184,511</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406,973</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454,037</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Non-operating income (expenses):</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919</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1,057</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3,089</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5,620</w:t>
            </w:r>
          </w:p>
        </w:tc>
        <w:tc>
          <w:tcPr>
            <w:tcW w:w="162" w:type="dxa"/>
            <w:tcBorders/>
            <w:vAlign w:val="bottom"/>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 of amounts capitalized</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(110,839</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(113,261</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(333,642</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(350,650</w:t>
            </w:r>
          </w:p>
        </w:tc>
        <w:tc>
          <w:tcPr>
            <w:tcW w:w="162" w:type="dxa"/>
            <w:tcBorders/>
            <w:shd w:fill="CCEEFF" w:val="clear"/>
            <w:vAlign w:val="bottom"/>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financing costs</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(1,767</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(992</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(5,044</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(4,970</w:t>
            </w:r>
          </w:p>
        </w:tc>
        <w:tc>
          <w:tcPr>
            <w:tcW w:w="162" w:type="dxa"/>
            <w:tcBorders/>
            <w:vAlign w:val="bottom"/>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gains (losses), net</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3,656</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(9,296</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9,343</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9,605</w:t>
            </w:r>
          </w:p>
        </w:tc>
        <w:tc>
          <w:tcPr>
            <w:tcW w:w="162" w:type="dxa"/>
            <w:tcBorders/>
            <w:shd w:fill="CCEEFF" w:val="clear"/>
            <w:vAlign w:val="bottom"/>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1,628</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1,410</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10,725</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3,399</w:t>
            </w:r>
          </w:p>
        </w:tc>
        <w:tc>
          <w:tcPr>
            <w:tcW w:w="162" w:type="dxa"/>
            <w:tcBorders/>
            <w:vAlign w:val="bottom"/>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(1,259</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(524</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(2,639</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(524</w:t>
            </w:r>
          </w:p>
        </w:tc>
        <w:tc>
          <w:tcPr>
            <w:tcW w:w="162" w:type="dxa"/>
            <w:tcBorders/>
            <w:shd w:fill="CCEEFF" w:val="clear"/>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Total non-operating expenses, net</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(107,662</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(121,606</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(318,168</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(337,520</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income before income tax</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(7,446</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62,905</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88,805</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116,517</w:t>
            </w:r>
          </w:p>
        </w:tc>
        <w:tc>
          <w:tcPr>
            <w:tcW w:w="162" w:type="dxa"/>
            <w:tcBorders/>
            <w:shd w:fill="CCEEFF" w:val="clear"/>
            <w:vAlign w:val="bottom"/>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(1,655</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(845</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(16,476</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(17,355</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(9,101</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62,060</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72,329</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99,162</w:t>
            </w:r>
          </w:p>
        </w:tc>
        <w:tc>
          <w:tcPr>
            <w:tcW w:w="162" w:type="dxa"/>
            <w:tcBorders/>
            <w:shd w:fill="CCEEFF" w:val="clear"/>
            <w:vAlign w:val="bottom"/>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9,135</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12,626</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27,198</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25,248</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Melco Resorts &amp; Entertainment Limited</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34</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74,686</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99,527</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124,410</w:t>
            </w:r>
          </w:p>
        </w:tc>
        <w:tc>
          <w:tcPr>
            <w:tcW w:w="162" w:type="dxa"/>
            <w:tcBorders/>
            <w:shd w:fill="CCEEFF" w:val="clear"/>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Melco Resorts &amp; Entertainment Limited per share:</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0.00003</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0.06375</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0.08684</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0.10356</w:t>
            </w:r>
          </w:p>
        </w:tc>
        <w:tc>
          <w:tcPr>
            <w:tcW w:w="162" w:type="dxa"/>
            <w:tcBorders/>
            <w:shd w:fill="CCEEFF" w:val="clear"/>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0.00003</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0.06307</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0.08644</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0.10303</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Melco Resorts &amp; Entertainment Limited per ADS:</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0.00009</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0.19124</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0.26051</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0.31067</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0.00009</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0.18922</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0.25933</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0.30909</w:t>
            </w:r>
          </w:p>
        </w:tc>
        <w:tc>
          <w:tcPr>
            <w:tcW w:w="162" w:type="dxa"/>
            <w:tcBorders/>
            <w:shd w:fill="CCEEFF" w:val="clear"/>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used in net income attributable to</w:t>
              <w:br/>
              <w:t>Melco Resorts &amp; Entertainment Limited per share calculation:</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1,104,504,749</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1,171,585,944</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1,146,144,003</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1,201,377,034</w:t>
            </w:r>
          </w:p>
        </w:tc>
        <w:tc>
          <w:tcPr>
            <w:tcW w:w="162" w:type="dxa"/>
            <w:tcBorders/>
            <w:shd w:fill="CCEEFF" w:val="clear"/>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1,108,390,113</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1,184,132,090</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1,151,344,779</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1,207,524,521</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p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6786"/>
        <w:gridCol w:w="130"/>
        <w:gridCol w:w="172"/>
        <w:gridCol w:w="1305"/>
        <w:gridCol w:w="155"/>
        <w:gridCol w:w="76"/>
        <w:gridCol w:w="165"/>
        <w:gridCol w:w="1258"/>
        <w:gridCol w:w="158"/>
      </w:tblGrid>
      <w:tr>
        <w:tc>
          <w:tcPr>
            <w:tcW w:w="6786"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786"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477" w:type="dxa"/>
            <w:gridSpan w:val="2"/>
            <w:tcBorders/>
            <w:vAlign w:val="bottom"/>
          </w:tcPr>
          <w:p>
            <w:pPr>
              <w:pStyle w:val="TableContents"/>
              <w:bidi w:val="0"/>
              <w:spacing w:before="0" w:after="283"/>
              <w:jc w:val="center"/>
              <w:rPr>
                <w:b/>
              </w:rPr>
            </w:pPr>
            <w:r>
              <w:rPr>
                <w:b/>
              </w:rPr>
              <w:t>September 30,</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423" w:type="dxa"/>
            <w:gridSpan w:val="2"/>
            <w:tcBorders/>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pPr>
            <w:r>
              <w:t> </w:t>
            </w:r>
          </w:p>
        </w:tc>
      </w:tr>
      <w:tr>
        <w:tc>
          <w:tcPr>
            <w:tcW w:w="6786"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pPr>
            <w:r>
              <w:t>  </w:t>
            </w:r>
            <w:r>
              <w:rPr>
                <w:b/>
              </w:rPr>
              <w:t>2026  </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25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rPr>
                <w:sz w:val="4"/>
                <w:szCs w:val="4"/>
              </w:rPr>
            </w:pPr>
            <w:r>
              <w:rPr>
                <w:sz w:val="4"/>
                <w:szCs w:val="4"/>
              </w:rPr>
            </w:r>
          </w:p>
        </w:tc>
        <w:tc>
          <w:tcPr>
            <w:tcW w:w="1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rPr>
                <w:sz w:val="4"/>
                <w:szCs w:val="4"/>
              </w:rPr>
            </w:pPr>
            <w:r>
              <w:rPr>
                <w:sz w:val="4"/>
                <w:szCs w:val="4"/>
              </w:rPr>
            </w:r>
          </w:p>
        </w:tc>
        <w:tc>
          <w:tcPr>
            <w:tcW w:w="125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w:t>
            </w:r>
          </w:p>
        </w:tc>
        <w:tc>
          <w:tcPr>
            <w:tcW w:w="1305" w:type="dxa"/>
            <w:tcBorders/>
            <w:shd w:fill="CCEEFF" w:val="clear"/>
            <w:vAlign w:val="bottom"/>
          </w:tcPr>
          <w:p>
            <w:pPr>
              <w:pStyle w:val="TableContents"/>
              <w:bidi w:val="0"/>
              <w:spacing w:before="0" w:after="283"/>
              <w:jc w:val="right"/>
            </w:pPr>
            <w:r>
              <w:t>762,448</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w:t>
            </w:r>
          </w:p>
        </w:tc>
        <w:tc>
          <w:tcPr>
            <w:tcW w:w="1258" w:type="dxa"/>
            <w:tcBorders/>
            <w:shd w:fill="CCEEFF" w:val="clear"/>
            <w:vAlign w:val="bottom"/>
          </w:tcPr>
          <w:p>
            <w:pPr>
              <w:pStyle w:val="TableContents"/>
              <w:bidi w:val="0"/>
              <w:spacing w:before="0" w:after="283"/>
              <w:jc w:val="right"/>
            </w:pPr>
            <w:r>
              <w:t>1,023,199</w:t>
            </w:r>
          </w:p>
        </w:tc>
        <w:tc>
          <w:tcPr>
            <w:tcW w:w="158" w:type="dxa"/>
            <w:tcBorders/>
            <w:shd w:fill="CCEEFF" w:val="clear"/>
            <w:vAlign w:val="bottom"/>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 </w:t>
            </w:r>
          </w:p>
        </w:tc>
        <w:tc>
          <w:tcPr>
            <w:tcW w:w="1305" w:type="dxa"/>
            <w:tcBorders/>
            <w:vAlign w:val="bottom"/>
          </w:tcPr>
          <w:p>
            <w:pPr>
              <w:pStyle w:val="TableContents"/>
              <w:bidi w:val="0"/>
              <w:spacing w:before="0" w:after="283"/>
              <w:jc w:val="right"/>
            </w:pPr>
            <w:r>
              <w:t>129,567</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58" w:type="dxa"/>
            <w:tcBorders/>
            <w:vAlign w:val="bottom"/>
          </w:tcPr>
          <w:p>
            <w:pPr>
              <w:pStyle w:val="TableContents"/>
              <w:bidi w:val="0"/>
              <w:spacing w:before="0" w:after="283"/>
              <w:jc w:val="right"/>
            </w:pPr>
            <w:r>
              <w:t>126,405</w:t>
            </w:r>
          </w:p>
        </w:tc>
        <w:tc>
          <w:tcPr>
            <w:tcW w:w="158" w:type="dxa"/>
            <w:tcBorders/>
            <w:vAlign w:val="bottom"/>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 from affiliated companies</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 </w:t>
            </w:r>
          </w:p>
        </w:tc>
        <w:tc>
          <w:tcPr>
            <w:tcW w:w="1305" w:type="dxa"/>
            <w:tcBorders/>
            <w:shd w:fill="CCEEFF" w:val="clear"/>
            <w:vAlign w:val="bottom"/>
          </w:tcPr>
          <w:p>
            <w:pPr>
              <w:pStyle w:val="TableContents"/>
              <w:bidi w:val="0"/>
              <w:spacing w:before="0" w:after="283"/>
              <w:jc w:val="right"/>
            </w:pPr>
            <w:r>
              <w:t>402</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58" w:type="dxa"/>
            <w:tcBorders/>
            <w:shd w:fill="CCEEFF" w:val="clear"/>
            <w:vAlign w:val="bottom"/>
          </w:tcPr>
          <w:p>
            <w:pPr>
              <w:pStyle w:val="TableContents"/>
              <w:bidi w:val="0"/>
              <w:spacing w:before="0" w:after="283"/>
              <w:jc w:val="right"/>
            </w:pPr>
            <w:r>
              <w:t>887</w:t>
            </w:r>
          </w:p>
        </w:tc>
        <w:tc>
          <w:tcPr>
            <w:tcW w:w="158" w:type="dxa"/>
            <w:tcBorders/>
            <w:shd w:fill="CCEEFF" w:val="clear"/>
            <w:vAlign w:val="bottom"/>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 </w:t>
            </w:r>
          </w:p>
        </w:tc>
        <w:tc>
          <w:tcPr>
            <w:tcW w:w="1305" w:type="dxa"/>
            <w:tcBorders/>
            <w:vAlign w:val="bottom"/>
          </w:tcPr>
          <w:p>
            <w:pPr>
              <w:pStyle w:val="TableContents"/>
              <w:bidi w:val="0"/>
              <w:spacing w:before="0" w:after="283"/>
              <w:jc w:val="right"/>
            </w:pPr>
            <w:r>
              <w:t>37,252</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58" w:type="dxa"/>
            <w:tcBorders/>
            <w:vAlign w:val="bottom"/>
          </w:tcPr>
          <w:p>
            <w:pPr>
              <w:pStyle w:val="TableContents"/>
              <w:bidi w:val="0"/>
              <w:spacing w:before="0" w:after="283"/>
              <w:jc w:val="right"/>
            </w:pPr>
            <w:r>
              <w:t>36,919</w:t>
            </w:r>
          </w:p>
        </w:tc>
        <w:tc>
          <w:tcPr>
            <w:tcW w:w="158" w:type="dxa"/>
            <w:tcBorders/>
            <w:vAlign w:val="bottom"/>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 </w:t>
            </w:r>
          </w:p>
        </w:tc>
        <w:tc>
          <w:tcPr>
            <w:tcW w:w="1305" w:type="dxa"/>
            <w:tcBorders/>
            <w:shd w:fill="CCEEFF" w:val="clear"/>
            <w:vAlign w:val="bottom"/>
          </w:tcPr>
          <w:p>
            <w:pPr>
              <w:pStyle w:val="TableContents"/>
              <w:bidi w:val="0"/>
              <w:spacing w:before="0" w:after="283"/>
              <w:jc w:val="right"/>
            </w:pPr>
            <w:r>
              <w:t>71,963</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58" w:type="dxa"/>
            <w:tcBorders/>
            <w:shd w:fill="CCEEFF" w:val="clear"/>
            <w:vAlign w:val="bottom"/>
          </w:tcPr>
          <w:p>
            <w:pPr>
              <w:pStyle w:val="TableContents"/>
              <w:bidi w:val="0"/>
              <w:spacing w:before="0" w:after="283"/>
              <w:jc w:val="right"/>
            </w:pPr>
            <w:r>
              <w:t>81,790</w:t>
            </w:r>
          </w:p>
        </w:tc>
        <w:tc>
          <w:tcPr>
            <w:tcW w:w="158" w:type="dxa"/>
            <w:tcBorders/>
            <w:shd w:fill="CCEEFF" w:val="clear"/>
            <w:vAlign w:val="bottom"/>
          </w:tcPr>
          <w:p>
            <w:pPr>
              <w:pStyle w:val="TableContents"/>
              <w:bidi w:val="0"/>
              <w:spacing w:before="0" w:after="283"/>
              <w:jc w:val="left"/>
            </w:pPr>
            <w:r>
              <w:t> </w:t>
            </w:r>
          </w:p>
        </w:tc>
      </w:tr>
      <w:tr>
        <w:tc>
          <w:tcPr>
            <w:tcW w:w="678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pBdr>
                <w:top w:val="single" w:sz="2" w:space="1" w:color="000000"/>
              </w:pBdr>
              <w:bidi w:val="0"/>
              <w:spacing w:before="0" w:after="0"/>
              <w:jc w:val="left"/>
            </w:pPr>
            <w:r>
              <w:t> </w:t>
            </w:r>
          </w:p>
        </w:tc>
        <w:tc>
          <w:tcPr>
            <w:tcW w:w="130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258"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 </w:t>
            </w:r>
          </w:p>
        </w:tc>
        <w:tc>
          <w:tcPr>
            <w:tcW w:w="1305" w:type="dxa"/>
            <w:tcBorders/>
            <w:vAlign w:val="bottom"/>
          </w:tcPr>
          <w:p>
            <w:pPr>
              <w:pStyle w:val="TableContents"/>
              <w:bidi w:val="0"/>
              <w:spacing w:before="0" w:after="283"/>
              <w:jc w:val="right"/>
            </w:pPr>
            <w:r>
              <w:t>1,001,632</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58" w:type="dxa"/>
            <w:tcBorders/>
            <w:vAlign w:val="bottom"/>
          </w:tcPr>
          <w:p>
            <w:pPr>
              <w:pStyle w:val="TableContents"/>
              <w:bidi w:val="0"/>
              <w:spacing w:before="0" w:after="283"/>
              <w:jc w:val="right"/>
            </w:pPr>
            <w:r>
              <w:t>1,269,200</w:t>
            </w:r>
          </w:p>
        </w:tc>
        <w:tc>
          <w:tcPr>
            <w:tcW w:w="158" w:type="dxa"/>
            <w:tcBorders/>
            <w:vAlign w:val="bottom"/>
          </w:tcPr>
          <w:p>
            <w:pPr>
              <w:pStyle w:val="TableContents"/>
              <w:bidi w:val="0"/>
              <w:spacing w:before="0" w:after="283"/>
              <w:jc w:val="left"/>
            </w:pPr>
            <w:r>
              <w:t> </w:t>
            </w:r>
          </w:p>
        </w:tc>
      </w:tr>
      <w:tr>
        <w:tc>
          <w:tcPr>
            <w:tcW w:w="678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pBdr>
                <w:top w:val="single" w:sz="2" w:space="1" w:color="000000"/>
              </w:pBdr>
              <w:bidi w:val="0"/>
              <w:spacing w:before="0" w:after="0"/>
              <w:jc w:val="left"/>
            </w:pPr>
            <w:r>
              <w:t> </w:t>
            </w:r>
          </w:p>
        </w:tc>
        <w:tc>
          <w:tcPr>
            <w:tcW w:w="130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258"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 </w:t>
            </w:r>
          </w:p>
        </w:tc>
        <w:tc>
          <w:tcPr>
            <w:tcW w:w="1305" w:type="dxa"/>
            <w:tcBorders/>
            <w:shd w:fill="CCEEFF" w:val="clear"/>
            <w:vAlign w:val="bottom"/>
          </w:tcPr>
          <w:p>
            <w:pPr>
              <w:pStyle w:val="TableContents"/>
              <w:bidi w:val="0"/>
              <w:spacing w:before="0" w:after="283"/>
              <w:jc w:val="right"/>
            </w:pPr>
            <w:r>
              <w:t>4,977,928</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58" w:type="dxa"/>
            <w:tcBorders/>
            <w:shd w:fill="CCEEFF" w:val="clear"/>
            <w:vAlign w:val="bottom"/>
          </w:tcPr>
          <w:p>
            <w:pPr>
              <w:pStyle w:val="TableContents"/>
              <w:bidi w:val="0"/>
              <w:spacing w:before="0" w:after="283"/>
              <w:jc w:val="right"/>
            </w:pPr>
            <w:r>
              <w:t>5,157,443</w:t>
            </w:r>
          </w:p>
        </w:tc>
        <w:tc>
          <w:tcPr>
            <w:tcW w:w="158" w:type="dxa"/>
            <w:tcBorders/>
            <w:shd w:fill="CCEEFF" w:val="clear"/>
            <w:vAlign w:val="bottom"/>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 </w:t>
            </w:r>
          </w:p>
        </w:tc>
        <w:tc>
          <w:tcPr>
            <w:tcW w:w="1305" w:type="dxa"/>
            <w:tcBorders/>
            <w:vAlign w:val="bottom"/>
          </w:tcPr>
          <w:p>
            <w:pPr>
              <w:pStyle w:val="TableContents"/>
              <w:bidi w:val="0"/>
              <w:spacing w:before="0" w:after="283"/>
              <w:jc w:val="right"/>
            </w:pPr>
            <w:r>
              <w:t>258,490</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58" w:type="dxa"/>
            <w:tcBorders/>
            <w:vAlign w:val="bottom"/>
          </w:tcPr>
          <w:p>
            <w:pPr>
              <w:pStyle w:val="TableContents"/>
              <w:bidi w:val="0"/>
              <w:spacing w:before="0" w:after="283"/>
              <w:jc w:val="right"/>
            </w:pPr>
            <w:r>
              <w:t>270,903</w:t>
            </w:r>
          </w:p>
        </w:tc>
        <w:tc>
          <w:tcPr>
            <w:tcW w:w="158" w:type="dxa"/>
            <w:tcBorders/>
            <w:vAlign w:val="bottom"/>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 </w:t>
            </w:r>
          </w:p>
        </w:tc>
        <w:tc>
          <w:tcPr>
            <w:tcW w:w="1305" w:type="dxa"/>
            <w:tcBorders/>
            <w:shd w:fill="CCEEFF" w:val="clear"/>
            <w:vAlign w:val="bottom"/>
          </w:tcPr>
          <w:p>
            <w:pPr>
              <w:pStyle w:val="TableContents"/>
              <w:bidi w:val="0"/>
              <w:spacing w:before="0" w:after="283"/>
              <w:jc w:val="right"/>
            </w:pPr>
            <w:r>
              <w:t>23,294</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58" w:type="dxa"/>
            <w:tcBorders/>
            <w:shd w:fill="CCEEFF" w:val="clear"/>
            <w:vAlign w:val="bottom"/>
          </w:tcPr>
          <w:p>
            <w:pPr>
              <w:pStyle w:val="TableContents"/>
              <w:bidi w:val="0"/>
              <w:spacing w:before="0" w:after="283"/>
              <w:jc w:val="right"/>
            </w:pPr>
            <w:r>
              <w:t>23,490</w:t>
            </w:r>
          </w:p>
        </w:tc>
        <w:tc>
          <w:tcPr>
            <w:tcW w:w="158" w:type="dxa"/>
            <w:tcBorders/>
            <w:shd w:fill="CCEEFF" w:val="clear"/>
            <w:vAlign w:val="bottom"/>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prepayments, deposits and other assets</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 </w:t>
            </w:r>
          </w:p>
        </w:tc>
        <w:tc>
          <w:tcPr>
            <w:tcW w:w="1305" w:type="dxa"/>
            <w:tcBorders/>
            <w:vAlign w:val="bottom"/>
          </w:tcPr>
          <w:p>
            <w:pPr>
              <w:pStyle w:val="TableContents"/>
              <w:bidi w:val="0"/>
              <w:spacing w:before="0" w:after="283"/>
              <w:jc w:val="right"/>
            </w:pPr>
            <w:r>
              <w:t>170,295</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58" w:type="dxa"/>
            <w:tcBorders/>
            <w:vAlign w:val="bottom"/>
          </w:tcPr>
          <w:p>
            <w:pPr>
              <w:pStyle w:val="TableContents"/>
              <w:bidi w:val="0"/>
              <w:spacing w:before="0" w:after="283"/>
              <w:jc w:val="right"/>
            </w:pPr>
            <w:r>
              <w:t>129,428</w:t>
            </w:r>
          </w:p>
        </w:tc>
        <w:tc>
          <w:tcPr>
            <w:tcW w:w="158" w:type="dxa"/>
            <w:tcBorders/>
            <w:vAlign w:val="bottom"/>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 </w:t>
            </w:r>
          </w:p>
        </w:tc>
        <w:tc>
          <w:tcPr>
            <w:tcW w:w="1305" w:type="dxa"/>
            <w:tcBorders/>
            <w:shd w:fill="CCEEFF" w:val="clear"/>
            <w:vAlign w:val="bottom"/>
          </w:tcPr>
          <w:p>
            <w:pPr>
              <w:pStyle w:val="TableContents"/>
              <w:bidi w:val="0"/>
              <w:spacing w:before="0" w:after="283"/>
              <w:jc w:val="right"/>
            </w:pPr>
            <w:r>
              <w:t>124,198</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58" w:type="dxa"/>
            <w:tcBorders/>
            <w:shd w:fill="CCEEFF" w:val="clear"/>
            <w:vAlign w:val="bottom"/>
          </w:tcPr>
          <w:p>
            <w:pPr>
              <w:pStyle w:val="TableContents"/>
              <w:bidi w:val="0"/>
              <w:spacing w:before="0" w:after="283"/>
              <w:jc w:val="right"/>
            </w:pPr>
            <w:r>
              <w:t>125,235</w:t>
            </w:r>
          </w:p>
        </w:tc>
        <w:tc>
          <w:tcPr>
            <w:tcW w:w="158" w:type="dxa"/>
            <w:tcBorders/>
            <w:shd w:fill="CCEEFF" w:val="clear"/>
            <w:vAlign w:val="bottom"/>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 </w:t>
            </w:r>
          </w:p>
        </w:tc>
        <w:tc>
          <w:tcPr>
            <w:tcW w:w="1305" w:type="dxa"/>
            <w:tcBorders/>
            <w:vAlign w:val="bottom"/>
          </w:tcPr>
          <w:p>
            <w:pPr>
              <w:pStyle w:val="TableContents"/>
              <w:bidi w:val="0"/>
              <w:spacing w:before="0" w:after="283"/>
              <w:jc w:val="right"/>
            </w:pPr>
            <w:r>
              <w:t>75,554</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58" w:type="dxa"/>
            <w:tcBorders/>
            <w:vAlign w:val="bottom"/>
          </w:tcPr>
          <w:p>
            <w:pPr>
              <w:pStyle w:val="TableContents"/>
              <w:bidi w:val="0"/>
              <w:spacing w:before="0" w:after="283"/>
              <w:jc w:val="right"/>
            </w:pPr>
            <w:r>
              <w:t>76,935</w:t>
            </w:r>
          </w:p>
        </w:tc>
        <w:tc>
          <w:tcPr>
            <w:tcW w:w="158" w:type="dxa"/>
            <w:tcBorders/>
            <w:vAlign w:val="bottom"/>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 </w:t>
            </w:r>
          </w:p>
        </w:tc>
        <w:tc>
          <w:tcPr>
            <w:tcW w:w="1305" w:type="dxa"/>
            <w:tcBorders/>
            <w:shd w:fill="CCEEFF" w:val="clear"/>
            <w:vAlign w:val="bottom"/>
          </w:tcPr>
          <w:p>
            <w:pPr>
              <w:pStyle w:val="TableContents"/>
              <w:bidi w:val="0"/>
              <w:spacing w:before="0" w:after="283"/>
              <w:jc w:val="right"/>
            </w:pPr>
            <w:r>
              <w:t>525,622</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58" w:type="dxa"/>
            <w:tcBorders/>
            <w:shd w:fill="CCEEFF" w:val="clear"/>
            <w:vAlign w:val="bottom"/>
          </w:tcPr>
          <w:p>
            <w:pPr>
              <w:pStyle w:val="TableContents"/>
              <w:bidi w:val="0"/>
              <w:spacing w:before="0" w:after="283"/>
              <w:jc w:val="right"/>
            </w:pPr>
            <w:r>
              <w:t>545,054</w:t>
            </w:r>
          </w:p>
        </w:tc>
        <w:tc>
          <w:tcPr>
            <w:tcW w:w="158" w:type="dxa"/>
            <w:tcBorders/>
            <w:shd w:fill="CCEEFF" w:val="clear"/>
            <w:vAlign w:val="bottom"/>
          </w:tcPr>
          <w:p>
            <w:pPr>
              <w:pStyle w:val="TableContents"/>
              <w:bidi w:val="0"/>
              <w:spacing w:before="0" w:after="283"/>
              <w:jc w:val="left"/>
            </w:pPr>
            <w:r>
              <w:t> </w:t>
            </w:r>
          </w:p>
        </w:tc>
      </w:tr>
      <w:tr>
        <w:tc>
          <w:tcPr>
            <w:tcW w:w="678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pBdr>
                <w:top w:val="single" w:sz="2" w:space="1" w:color="000000"/>
              </w:pBdr>
              <w:bidi w:val="0"/>
              <w:spacing w:before="0" w:after="0"/>
              <w:jc w:val="left"/>
            </w:pPr>
            <w:r>
              <w:t> </w:t>
            </w:r>
          </w:p>
        </w:tc>
        <w:tc>
          <w:tcPr>
            <w:tcW w:w="130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258"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w:t>
            </w:r>
          </w:p>
        </w:tc>
        <w:tc>
          <w:tcPr>
            <w:tcW w:w="1305" w:type="dxa"/>
            <w:tcBorders/>
            <w:vAlign w:val="bottom"/>
          </w:tcPr>
          <w:p>
            <w:pPr>
              <w:pStyle w:val="TableContents"/>
              <w:bidi w:val="0"/>
              <w:spacing w:before="0" w:after="283"/>
              <w:jc w:val="right"/>
            </w:pPr>
            <w:r>
              <w:t>7,157,013</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w:t>
            </w:r>
          </w:p>
        </w:tc>
        <w:tc>
          <w:tcPr>
            <w:tcW w:w="1258" w:type="dxa"/>
            <w:tcBorders/>
            <w:vAlign w:val="bottom"/>
          </w:tcPr>
          <w:p>
            <w:pPr>
              <w:pStyle w:val="TableContents"/>
              <w:bidi w:val="0"/>
              <w:spacing w:before="0" w:after="283"/>
              <w:jc w:val="right"/>
            </w:pPr>
            <w:r>
              <w:t>7,597,688</w:t>
            </w:r>
          </w:p>
        </w:tc>
        <w:tc>
          <w:tcPr>
            <w:tcW w:w="158" w:type="dxa"/>
            <w:tcBorders/>
            <w:vAlign w:val="bottom"/>
          </w:tcPr>
          <w:p>
            <w:pPr>
              <w:pStyle w:val="TableContents"/>
              <w:bidi w:val="0"/>
              <w:spacing w:before="0" w:after="283"/>
              <w:jc w:val="left"/>
            </w:pPr>
            <w:r>
              <w:t> </w:t>
            </w:r>
          </w:p>
        </w:tc>
      </w:tr>
      <w:tr>
        <w:tc>
          <w:tcPr>
            <w:tcW w:w="678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pBdr>
                <w:top w:val="double" w:sz="6" w:space="1" w:color="000000"/>
              </w:pBdr>
              <w:bidi w:val="0"/>
              <w:spacing w:before="0" w:after="0"/>
              <w:jc w:val="left"/>
            </w:pPr>
            <w:r>
              <w:t> </w:t>
            </w:r>
          </w:p>
        </w:tc>
        <w:tc>
          <w:tcPr>
            <w:tcW w:w="130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pBdr>
                <w:top w:val="double" w:sz="6" w:space="1" w:color="000000"/>
              </w:pBdr>
              <w:bidi w:val="0"/>
              <w:spacing w:before="0" w:after="0"/>
              <w:jc w:val="left"/>
            </w:pPr>
            <w:r>
              <w:t> </w:t>
            </w:r>
          </w:p>
        </w:tc>
        <w:tc>
          <w:tcPr>
            <w:tcW w:w="1258"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DEFICIT</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25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rPr>
                <w:sz w:val="4"/>
                <w:szCs w:val="4"/>
              </w:rPr>
            </w:pPr>
            <w:r>
              <w:rPr>
                <w:sz w:val="4"/>
                <w:szCs w:val="4"/>
              </w:rPr>
            </w:r>
          </w:p>
        </w:tc>
        <w:tc>
          <w:tcPr>
            <w:tcW w:w="1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rPr>
                <w:sz w:val="4"/>
                <w:szCs w:val="4"/>
              </w:rPr>
            </w:pPr>
            <w:r>
              <w:rPr>
                <w:sz w:val="4"/>
                <w:szCs w:val="4"/>
              </w:rPr>
            </w:r>
          </w:p>
        </w:tc>
        <w:tc>
          <w:tcPr>
            <w:tcW w:w="125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w:t>
            </w:r>
          </w:p>
        </w:tc>
        <w:tc>
          <w:tcPr>
            <w:tcW w:w="1305" w:type="dxa"/>
            <w:tcBorders/>
            <w:shd w:fill="CCEEFF" w:val="clear"/>
            <w:vAlign w:val="bottom"/>
          </w:tcPr>
          <w:p>
            <w:pPr>
              <w:pStyle w:val="TableContents"/>
              <w:bidi w:val="0"/>
              <w:spacing w:before="0" w:after="283"/>
              <w:jc w:val="right"/>
            </w:pPr>
            <w:r>
              <w:t>19,224</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w:t>
            </w:r>
          </w:p>
        </w:tc>
        <w:tc>
          <w:tcPr>
            <w:tcW w:w="1258" w:type="dxa"/>
            <w:tcBorders/>
            <w:shd w:fill="CCEEFF" w:val="clear"/>
            <w:vAlign w:val="bottom"/>
          </w:tcPr>
          <w:p>
            <w:pPr>
              <w:pStyle w:val="TableContents"/>
              <w:bidi w:val="0"/>
              <w:spacing w:before="0" w:after="283"/>
              <w:jc w:val="right"/>
            </w:pPr>
            <w:r>
              <w:t>25,910</w:t>
            </w:r>
          </w:p>
        </w:tc>
        <w:tc>
          <w:tcPr>
            <w:tcW w:w="158" w:type="dxa"/>
            <w:tcBorders/>
            <w:shd w:fill="CCEEFF" w:val="clear"/>
            <w:vAlign w:val="bottom"/>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 </w:t>
            </w:r>
          </w:p>
        </w:tc>
        <w:tc>
          <w:tcPr>
            <w:tcW w:w="1305" w:type="dxa"/>
            <w:tcBorders/>
            <w:vAlign w:val="bottom"/>
          </w:tcPr>
          <w:p>
            <w:pPr>
              <w:pStyle w:val="TableContents"/>
              <w:bidi w:val="0"/>
              <w:spacing w:before="0" w:after="283"/>
              <w:jc w:val="right"/>
            </w:pPr>
            <w:r>
              <w:t>1,005,568</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58" w:type="dxa"/>
            <w:tcBorders/>
            <w:vAlign w:val="bottom"/>
          </w:tcPr>
          <w:p>
            <w:pPr>
              <w:pStyle w:val="TableContents"/>
              <w:bidi w:val="0"/>
              <w:spacing w:before="0" w:after="283"/>
              <w:jc w:val="right"/>
            </w:pPr>
            <w:r>
              <w:t>1,076,150</w:t>
            </w:r>
          </w:p>
        </w:tc>
        <w:tc>
          <w:tcPr>
            <w:tcW w:w="158" w:type="dxa"/>
            <w:tcBorders/>
            <w:vAlign w:val="bottom"/>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 </w:t>
            </w:r>
          </w:p>
        </w:tc>
        <w:tc>
          <w:tcPr>
            <w:tcW w:w="1305" w:type="dxa"/>
            <w:tcBorders/>
            <w:shd w:fill="CCEEFF" w:val="clear"/>
            <w:vAlign w:val="bottom"/>
          </w:tcPr>
          <w:p>
            <w:pPr>
              <w:pStyle w:val="TableContents"/>
              <w:bidi w:val="0"/>
              <w:spacing w:before="0" w:after="283"/>
              <w:jc w:val="right"/>
            </w:pPr>
            <w:r>
              <w:t>30,277</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58" w:type="dxa"/>
            <w:tcBorders/>
            <w:shd w:fill="CCEEFF" w:val="clear"/>
            <w:vAlign w:val="bottom"/>
          </w:tcPr>
          <w:p>
            <w:pPr>
              <w:pStyle w:val="TableContents"/>
              <w:bidi w:val="0"/>
              <w:spacing w:before="0" w:after="283"/>
              <w:jc w:val="right"/>
            </w:pPr>
            <w:r>
              <w:t>29,208</w:t>
            </w:r>
          </w:p>
        </w:tc>
        <w:tc>
          <w:tcPr>
            <w:tcW w:w="158" w:type="dxa"/>
            <w:tcBorders/>
            <w:shd w:fill="CCEEFF" w:val="clear"/>
            <w:vAlign w:val="bottom"/>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 </w:t>
            </w:r>
          </w:p>
        </w:tc>
        <w:tc>
          <w:tcPr>
            <w:tcW w:w="1305" w:type="dxa"/>
            <w:tcBorders/>
            <w:vAlign w:val="bottom"/>
          </w:tcPr>
          <w:p>
            <w:pPr>
              <w:pStyle w:val="TableContents"/>
              <w:bidi w:val="0"/>
              <w:spacing w:before="0" w:after="283"/>
              <w:jc w:val="right"/>
            </w:pPr>
            <w:r>
              <w:t>21,636</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58" w:type="dxa"/>
            <w:tcBorders/>
            <w:vAlign w:val="bottom"/>
          </w:tcPr>
          <w:p>
            <w:pPr>
              <w:pStyle w:val="TableContents"/>
              <w:bidi w:val="0"/>
              <w:spacing w:before="0" w:after="283"/>
              <w:jc w:val="right"/>
            </w:pPr>
            <w:r>
              <w:t>18,998</w:t>
            </w:r>
          </w:p>
        </w:tc>
        <w:tc>
          <w:tcPr>
            <w:tcW w:w="158" w:type="dxa"/>
            <w:tcBorders/>
            <w:vAlign w:val="bottom"/>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 current</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 </w:t>
            </w:r>
          </w:p>
        </w:tc>
        <w:tc>
          <w:tcPr>
            <w:tcW w:w="1305" w:type="dxa"/>
            <w:tcBorders/>
            <w:shd w:fill="CCEEFF" w:val="clear"/>
            <w:vAlign w:val="bottom"/>
          </w:tcPr>
          <w:p>
            <w:pPr>
              <w:pStyle w:val="TableContents"/>
              <w:bidi w:val="0"/>
              <w:spacing w:before="0" w:after="283"/>
              <w:jc w:val="right"/>
            </w:pPr>
            <w:r>
              <w:t>32,057</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58" w:type="dxa"/>
            <w:tcBorders/>
            <w:shd w:fill="CCEEFF" w:val="clear"/>
            <w:vAlign w:val="bottom"/>
          </w:tcPr>
          <w:p>
            <w:pPr>
              <w:pStyle w:val="TableContents"/>
              <w:bidi w:val="0"/>
              <w:spacing w:before="0" w:after="283"/>
              <w:jc w:val="right"/>
            </w:pPr>
            <w:r>
              <w:t>33,327</w:t>
            </w:r>
          </w:p>
        </w:tc>
        <w:tc>
          <w:tcPr>
            <w:tcW w:w="158" w:type="dxa"/>
            <w:tcBorders/>
            <w:shd w:fill="CCEEFF" w:val="clear"/>
            <w:vAlign w:val="bottom"/>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Payables to affiliated companies</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 </w:t>
            </w:r>
          </w:p>
        </w:tc>
        <w:tc>
          <w:tcPr>
            <w:tcW w:w="1305" w:type="dxa"/>
            <w:tcBorders/>
            <w:vAlign w:val="bottom"/>
          </w:tcPr>
          <w:p>
            <w:pPr>
              <w:pStyle w:val="TableContents"/>
              <w:bidi w:val="0"/>
              <w:spacing w:before="0" w:after="283"/>
              <w:jc w:val="right"/>
            </w:pPr>
            <w:r>
              <w:t>236</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58" w:type="dxa"/>
            <w:tcBorders/>
            <w:vAlign w:val="bottom"/>
          </w:tcPr>
          <w:p>
            <w:pPr>
              <w:pStyle w:val="TableContents"/>
              <w:bidi w:val="0"/>
              <w:spacing w:before="0" w:after="283"/>
              <w:jc w:val="right"/>
            </w:pPr>
            <w:r>
              <w:t>719</w:t>
            </w:r>
          </w:p>
        </w:tc>
        <w:tc>
          <w:tcPr>
            <w:tcW w:w="158" w:type="dxa"/>
            <w:tcBorders/>
            <w:vAlign w:val="bottom"/>
          </w:tcPr>
          <w:p>
            <w:pPr>
              <w:pStyle w:val="TableContents"/>
              <w:bidi w:val="0"/>
              <w:spacing w:before="0" w:after="283"/>
              <w:jc w:val="left"/>
            </w:pPr>
            <w:r>
              <w:t> </w:t>
            </w:r>
          </w:p>
        </w:tc>
      </w:tr>
      <w:tr>
        <w:tc>
          <w:tcPr>
            <w:tcW w:w="678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pBdr>
                <w:top w:val="single" w:sz="2" w:space="1" w:color="000000"/>
              </w:pBdr>
              <w:bidi w:val="0"/>
              <w:spacing w:before="0" w:after="0"/>
              <w:jc w:val="left"/>
            </w:pPr>
            <w:r>
              <w:t> </w:t>
            </w:r>
          </w:p>
        </w:tc>
        <w:tc>
          <w:tcPr>
            <w:tcW w:w="130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258"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 </w:t>
            </w:r>
          </w:p>
        </w:tc>
        <w:tc>
          <w:tcPr>
            <w:tcW w:w="1305" w:type="dxa"/>
            <w:tcBorders/>
            <w:shd w:fill="CCEEFF" w:val="clear"/>
            <w:vAlign w:val="bottom"/>
          </w:tcPr>
          <w:p>
            <w:pPr>
              <w:pStyle w:val="TableContents"/>
              <w:bidi w:val="0"/>
              <w:spacing w:before="0" w:after="283"/>
              <w:jc w:val="right"/>
            </w:pPr>
            <w:r>
              <w:t>1,108,998</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58" w:type="dxa"/>
            <w:tcBorders/>
            <w:shd w:fill="CCEEFF" w:val="clear"/>
            <w:vAlign w:val="bottom"/>
          </w:tcPr>
          <w:p>
            <w:pPr>
              <w:pStyle w:val="TableContents"/>
              <w:bidi w:val="0"/>
              <w:spacing w:before="0" w:after="283"/>
              <w:jc w:val="right"/>
            </w:pPr>
            <w:r>
              <w:t>1,184,312</w:t>
            </w:r>
          </w:p>
        </w:tc>
        <w:tc>
          <w:tcPr>
            <w:tcW w:w="158" w:type="dxa"/>
            <w:tcBorders/>
            <w:shd w:fill="CCEEFF" w:val="clear"/>
            <w:vAlign w:val="bottom"/>
          </w:tcPr>
          <w:p>
            <w:pPr>
              <w:pStyle w:val="TableContents"/>
              <w:bidi w:val="0"/>
              <w:spacing w:before="0" w:after="283"/>
              <w:jc w:val="left"/>
            </w:pPr>
            <w:r>
              <w:t> </w:t>
            </w:r>
          </w:p>
        </w:tc>
      </w:tr>
      <w:tr>
        <w:tc>
          <w:tcPr>
            <w:tcW w:w="678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pBdr>
                <w:top w:val="single" w:sz="2" w:space="1" w:color="000000"/>
              </w:pBdr>
              <w:bidi w:val="0"/>
              <w:spacing w:before="0" w:after="0"/>
              <w:jc w:val="left"/>
            </w:pPr>
            <w:r>
              <w:t> </w:t>
            </w:r>
          </w:p>
        </w:tc>
        <w:tc>
          <w:tcPr>
            <w:tcW w:w="130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258"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 </w:t>
            </w:r>
          </w:p>
        </w:tc>
        <w:tc>
          <w:tcPr>
            <w:tcW w:w="1305" w:type="dxa"/>
            <w:tcBorders/>
            <w:vAlign w:val="bottom"/>
          </w:tcPr>
          <w:p>
            <w:pPr>
              <w:pStyle w:val="TableContents"/>
              <w:bidi w:val="0"/>
              <w:spacing w:before="0" w:after="283"/>
              <w:jc w:val="right"/>
            </w:pPr>
            <w:r>
              <w:t>6,978,551</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58" w:type="dxa"/>
            <w:tcBorders/>
            <w:vAlign w:val="bottom"/>
          </w:tcPr>
          <w:p>
            <w:pPr>
              <w:pStyle w:val="TableContents"/>
              <w:bidi w:val="0"/>
              <w:spacing w:before="0" w:after="283"/>
              <w:jc w:val="right"/>
            </w:pPr>
            <w:r>
              <w:t>6,747,918</w:t>
            </w:r>
          </w:p>
        </w:tc>
        <w:tc>
          <w:tcPr>
            <w:tcW w:w="158" w:type="dxa"/>
            <w:tcBorders/>
            <w:vAlign w:val="bottom"/>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Other long-term liabilities </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 </w:t>
            </w:r>
          </w:p>
        </w:tc>
        <w:tc>
          <w:tcPr>
            <w:tcW w:w="1305" w:type="dxa"/>
            <w:tcBorders/>
            <w:shd w:fill="CCEEFF" w:val="clear"/>
            <w:vAlign w:val="bottom"/>
          </w:tcPr>
          <w:p>
            <w:pPr>
              <w:pStyle w:val="TableContents"/>
              <w:bidi w:val="0"/>
              <w:spacing w:before="0" w:after="283"/>
              <w:jc w:val="right"/>
            </w:pPr>
            <w:r>
              <w:t>281,454</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58" w:type="dxa"/>
            <w:tcBorders/>
            <w:shd w:fill="CCEEFF" w:val="clear"/>
            <w:vAlign w:val="bottom"/>
          </w:tcPr>
          <w:p>
            <w:pPr>
              <w:pStyle w:val="TableContents"/>
              <w:bidi w:val="0"/>
              <w:spacing w:before="0" w:after="283"/>
              <w:jc w:val="right"/>
            </w:pPr>
            <w:r>
              <w:t>309,799</w:t>
            </w:r>
          </w:p>
        </w:tc>
        <w:tc>
          <w:tcPr>
            <w:tcW w:w="158" w:type="dxa"/>
            <w:tcBorders/>
            <w:shd w:fill="CCEEFF" w:val="clear"/>
            <w:vAlign w:val="bottom"/>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 </w:t>
            </w:r>
          </w:p>
        </w:tc>
        <w:tc>
          <w:tcPr>
            <w:tcW w:w="1305" w:type="dxa"/>
            <w:tcBorders/>
            <w:vAlign w:val="bottom"/>
          </w:tcPr>
          <w:p>
            <w:pPr>
              <w:pStyle w:val="TableContents"/>
              <w:bidi w:val="0"/>
              <w:spacing w:before="0" w:after="283"/>
              <w:jc w:val="right"/>
            </w:pPr>
            <w:r>
              <w:t>34,092</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58" w:type="dxa"/>
            <w:tcBorders/>
            <w:vAlign w:val="bottom"/>
          </w:tcPr>
          <w:p>
            <w:pPr>
              <w:pStyle w:val="TableContents"/>
              <w:bidi w:val="0"/>
              <w:spacing w:before="0" w:after="283"/>
              <w:jc w:val="right"/>
            </w:pPr>
            <w:r>
              <w:t>34,590</w:t>
            </w:r>
          </w:p>
        </w:tc>
        <w:tc>
          <w:tcPr>
            <w:tcW w:w="158" w:type="dxa"/>
            <w:tcBorders/>
            <w:vAlign w:val="bottom"/>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 </w:t>
            </w:r>
          </w:p>
        </w:tc>
        <w:tc>
          <w:tcPr>
            <w:tcW w:w="1305" w:type="dxa"/>
            <w:tcBorders/>
            <w:shd w:fill="CCEEFF" w:val="clear"/>
            <w:vAlign w:val="bottom"/>
          </w:tcPr>
          <w:p>
            <w:pPr>
              <w:pStyle w:val="TableContents"/>
              <w:bidi w:val="0"/>
              <w:spacing w:before="0" w:after="283"/>
              <w:jc w:val="right"/>
            </w:pPr>
            <w:r>
              <w:t>75,222</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58" w:type="dxa"/>
            <w:tcBorders/>
            <w:shd w:fill="CCEEFF" w:val="clear"/>
            <w:vAlign w:val="bottom"/>
          </w:tcPr>
          <w:p>
            <w:pPr>
              <w:pStyle w:val="TableContents"/>
              <w:bidi w:val="0"/>
              <w:spacing w:before="0" w:after="283"/>
              <w:jc w:val="right"/>
            </w:pPr>
            <w:r>
              <w:t>76,108</w:t>
            </w:r>
          </w:p>
        </w:tc>
        <w:tc>
          <w:tcPr>
            <w:tcW w:w="158" w:type="dxa"/>
            <w:tcBorders/>
            <w:shd w:fill="CCEEFF" w:val="clear"/>
            <w:vAlign w:val="bottom"/>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liabilities, non-current</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 </w:t>
            </w:r>
          </w:p>
        </w:tc>
        <w:tc>
          <w:tcPr>
            <w:tcW w:w="1305" w:type="dxa"/>
            <w:tcBorders/>
            <w:vAlign w:val="bottom"/>
          </w:tcPr>
          <w:p>
            <w:pPr>
              <w:pStyle w:val="TableContents"/>
              <w:bidi w:val="0"/>
              <w:spacing w:before="0" w:after="283"/>
              <w:jc w:val="right"/>
            </w:pPr>
            <w:r>
              <w:t>128,360</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58" w:type="dxa"/>
            <w:tcBorders/>
            <w:vAlign w:val="bottom"/>
          </w:tcPr>
          <w:p>
            <w:pPr>
              <w:pStyle w:val="TableContents"/>
              <w:bidi w:val="0"/>
              <w:spacing w:before="0" w:after="283"/>
              <w:jc w:val="right"/>
            </w:pPr>
            <w:r>
              <w:t>148,590</w:t>
            </w:r>
          </w:p>
        </w:tc>
        <w:tc>
          <w:tcPr>
            <w:tcW w:w="158" w:type="dxa"/>
            <w:tcBorders/>
            <w:vAlign w:val="bottom"/>
          </w:tcPr>
          <w:p>
            <w:pPr>
              <w:pStyle w:val="TableContents"/>
              <w:bidi w:val="0"/>
              <w:spacing w:before="0" w:after="283"/>
              <w:jc w:val="left"/>
            </w:pPr>
            <w:r>
              <w:t> </w:t>
            </w:r>
          </w:p>
        </w:tc>
      </w:tr>
      <w:tr>
        <w:tc>
          <w:tcPr>
            <w:tcW w:w="678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pBdr>
                <w:top w:val="single" w:sz="2" w:space="1" w:color="000000"/>
              </w:pBdr>
              <w:bidi w:val="0"/>
              <w:spacing w:before="0" w:after="0"/>
              <w:jc w:val="left"/>
            </w:pPr>
            <w:r>
              <w:t> </w:t>
            </w:r>
          </w:p>
        </w:tc>
        <w:tc>
          <w:tcPr>
            <w:tcW w:w="130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258"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 </w:t>
            </w:r>
          </w:p>
        </w:tc>
        <w:tc>
          <w:tcPr>
            <w:tcW w:w="1305" w:type="dxa"/>
            <w:tcBorders/>
            <w:shd w:fill="CCEEFF" w:val="clear"/>
            <w:vAlign w:val="bottom"/>
          </w:tcPr>
          <w:p>
            <w:pPr>
              <w:pStyle w:val="TableContents"/>
              <w:bidi w:val="0"/>
              <w:spacing w:before="0" w:after="283"/>
              <w:jc w:val="right"/>
            </w:pPr>
            <w:r>
              <w:t>8,606,677</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58" w:type="dxa"/>
            <w:tcBorders/>
            <w:shd w:fill="CCEEFF" w:val="clear"/>
            <w:vAlign w:val="bottom"/>
          </w:tcPr>
          <w:p>
            <w:pPr>
              <w:pStyle w:val="TableContents"/>
              <w:bidi w:val="0"/>
              <w:spacing w:before="0" w:after="283"/>
              <w:jc w:val="right"/>
            </w:pPr>
            <w:r>
              <w:t>8,501,317</w:t>
            </w:r>
          </w:p>
        </w:tc>
        <w:tc>
          <w:tcPr>
            <w:tcW w:w="158" w:type="dxa"/>
            <w:tcBorders/>
            <w:shd w:fill="CCEEFF" w:val="clear"/>
            <w:vAlign w:val="bottom"/>
          </w:tcPr>
          <w:p>
            <w:pPr>
              <w:pStyle w:val="TableContents"/>
              <w:bidi w:val="0"/>
              <w:spacing w:before="0" w:after="283"/>
              <w:jc w:val="left"/>
            </w:pPr>
            <w:r>
              <w:t> </w:t>
            </w:r>
          </w:p>
        </w:tc>
      </w:tr>
      <w:tr>
        <w:tc>
          <w:tcPr>
            <w:tcW w:w="678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pBdr>
                <w:top w:val="single" w:sz="2" w:space="1" w:color="000000"/>
              </w:pBdr>
              <w:bidi w:val="0"/>
              <w:spacing w:before="0" w:after="0"/>
              <w:jc w:val="left"/>
            </w:pPr>
            <w:r>
              <w:t> </w:t>
            </w:r>
          </w:p>
        </w:tc>
        <w:tc>
          <w:tcPr>
            <w:tcW w:w="130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258"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Deficit:</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rPr>
                <w:sz w:val="4"/>
                <w:szCs w:val="4"/>
              </w:rPr>
            </w:pPr>
            <w:r>
              <w:rPr>
                <w:sz w:val="4"/>
                <w:szCs w:val="4"/>
              </w:rPr>
            </w:r>
          </w:p>
        </w:tc>
        <w:tc>
          <w:tcPr>
            <w:tcW w:w="13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rPr>
                <w:sz w:val="4"/>
                <w:szCs w:val="4"/>
              </w:rPr>
            </w:pPr>
            <w:r>
              <w:rPr>
                <w:sz w:val="4"/>
                <w:szCs w:val="4"/>
              </w:rPr>
            </w:r>
          </w:p>
        </w:tc>
        <w:tc>
          <w:tcPr>
            <w:tcW w:w="125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Ordinary shares, par value $0.01; 7,300,000,000 shares authorized;  1,351,540,382 and 1,351,540,382 shares issued; 1,073,746,657 and 1,172,055,466 shares outstanding, respectively</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 </w:t>
            </w:r>
          </w:p>
        </w:tc>
        <w:tc>
          <w:tcPr>
            <w:tcW w:w="1305" w:type="dxa"/>
            <w:tcBorders/>
            <w:shd w:fill="CCEEFF" w:val="clear"/>
            <w:vAlign w:val="bottom"/>
          </w:tcPr>
          <w:p>
            <w:pPr>
              <w:pStyle w:val="TableContents"/>
              <w:bidi w:val="0"/>
              <w:spacing w:before="0" w:after="283"/>
              <w:jc w:val="right"/>
            </w:pPr>
            <w:r>
              <w:t>13,515</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58" w:type="dxa"/>
            <w:tcBorders/>
            <w:shd w:fill="CCEEFF" w:val="clear"/>
            <w:vAlign w:val="bottom"/>
          </w:tcPr>
          <w:p>
            <w:pPr>
              <w:pStyle w:val="TableContents"/>
              <w:bidi w:val="0"/>
              <w:spacing w:before="0" w:after="283"/>
              <w:jc w:val="right"/>
            </w:pPr>
            <w:r>
              <w:t>13,515</w:t>
            </w:r>
          </w:p>
        </w:tc>
        <w:tc>
          <w:tcPr>
            <w:tcW w:w="158" w:type="dxa"/>
            <w:tcBorders/>
            <w:shd w:fill="CCEEFF" w:val="clear"/>
            <w:vAlign w:val="bottom"/>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Treasury shares, at cost; 277,793,725 and 179,484,916 shares, respectively</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 </w:t>
            </w:r>
          </w:p>
        </w:tc>
        <w:tc>
          <w:tcPr>
            <w:tcW w:w="1305" w:type="dxa"/>
            <w:tcBorders/>
            <w:vAlign w:val="bottom"/>
          </w:tcPr>
          <w:p>
            <w:pPr>
              <w:pStyle w:val="TableContents"/>
              <w:bidi w:val="0"/>
              <w:spacing w:before="0" w:after="283"/>
              <w:jc w:val="right"/>
            </w:pPr>
            <w:r>
              <w:t>(526,099</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58" w:type="dxa"/>
            <w:tcBorders/>
            <w:vAlign w:val="bottom"/>
          </w:tcPr>
          <w:p>
            <w:pPr>
              <w:pStyle w:val="TableContents"/>
              <w:bidi w:val="0"/>
              <w:spacing w:before="0" w:after="283"/>
              <w:jc w:val="right"/>
            </w:pPr>
            <w:r>
              <w:t>(356,835</w:t>
            </w:r>
          </w:p>
        </w:tc>
        <w:tc>
          <w:tcPr>
            <w:tcW w:w="158" w:type="dxa"/>
            <w:tcBorders/>
            <w:vAlign w:val="bottom"/>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 </w:t>
            </w:r>
          </w:p>
        </w:tc>
        <w:tc>
          <w:tcPr>
            <w:tcW w:w="1305" w:type="dxa"/>
            <w:tcBorders/>
            <w:shd w:fill="CCEEFF" w:val="clear"/>
            <w:vAlign w:val="bottom"/>
          </w:tcPr>
          <w:p>
            <w:pPr>
              <w:pStyle w:val="TableContents"/>
              <w:bidi w:val="0"/>
              <w:spacing w:before="0" w:after="283"/>
              <w:jc w:val="right"/>
            </w:pPr>
            <w:r>
              <w:t>2,609,853</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58" w:type="dxa"/>
            <w:tcBorders/>
            <w:shd w:fill="CCEEFF" w:val="clear"/>
            <w:vAlign w:val="bottom"/>
          </w:tcPr>
          <w:p>
            <w:pPr>
              <w:pStyle w:val="TableContents"/>
              <w:bidi w:val="0"/>
              <w:spacing w:before="0" w:after="283"/>
              <w:jc w:val="right"/>
            </w:pPr>
            <w:r>
              <w:t>2,988,714</w:t>
            </w:r>
          </w:p>
        </w:tc>
        <w:tc>
          <w:tcPr>
            <w:tcW w:w="158" w:type="dxa"/>
            <w:tcBorders/>
            <w:shd w:fill="CCEEFF" w:val="clear"/>
            <w:vAlign w:val="bottom"/>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losses</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 </w:t>
            </w:r>
          </w:p>
        </w:tc>
        <w:tc>
          <w:tcPr>
            <w:tcW w:w="1305" w:type="dxa"/>
            <w:tcBorders/>
            <w:vAlign w:val="bottom"/>
          </w:tcPr>
          <w:p>
            <w:pPr>
              <w:pStyle w:val="TableContents"/>
              <w:bidi w:val="0"/>
              <w:spacing w:before="0" w:after="283"/>
              <w:jc w:val="right"/>
            </w:pPr>
            <w:r>
              <w:t>(118,727</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58" w:type="dxa"/>
            <w:tcBorders/>
            <w:vAlign w:val="bottom"/>
          </w:tcPr>
          <w:p>
            <w:pPr>
              <w:pStyle w:val="TableContents"/>
              <w:bidi w:val="0"/>
              <w:spacing w:before="0" w:after="283"/>
              <w:jc w:val="right"/>
            </w:pPr>
            <w:r>
              <w:t>(63,712</w:t>
            </w:r>
          </w:p>
        </w:tc>
        <w:tc>
          <w:tcPr>
            <w:tcW w:w="158" w:type="dxa"/>
            <w:tcBorders/>
            <w:vAlign w:val="bottom"/>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 </w:t>
            </w:r>
          </w:p>
        </w:tc>
        <w:tc>
          <w:tcPr>
            <w:tcW w:w="1305" w:type="dxa"/>
            <w:tcBorders/>
            <w:shd w:fill="CCEEFF" w:val="clear"/>
            <w:vAlign w:val="bottom"/>
          </w:tcPr>
          <w:p>
            <w:pPr>
              <w:pStyle w:val="TableContents"/>
              <w:bidi w:val="0"/>
              <w:spacing w:before="0" w:after="283"/>
              <w:jc w:val="right"/>
            </w:pPr>
            <w:r>
              <w:t>(3,728,757</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58" w:type="dxa"/>
            <w:tcBorders/>
            <w:shd w:fill="CCEEFF" w:val="clear"/>
            <w:vAlign w:val="bottom"/>
          </w:tcPr>
          <w:p>
            <w:pPr>
              <w:pStyle w:val="TableContents"/>
              <w:bidi w:val="0"/>
              <w:spacing w:before="0" w:after="283"/>
              <w:jc w:val="right"/>
            </w:pPr>
            <w:r>
              <w:t>(3,828,284</w:t>
            </w:r>
          </w:p>
        </w:tc>
        <w:tc>
          <w:tcPr>
            <w:tcW w:w="158" w:type="dxa"/>
            <w:tcBorders/>
            <w:shd w:fill="CCEEFF" w:val="clear"/>
            <w:vAlign w:val="bottom"/>
          </w:tcPr>
          <w:p>
            <w:pPr>
              <w:pStyle w:val="TableContents"/>
              <w:bidi w:val="0"/>
              <w:spacing w:before="0" w:after="283"/>
              <w:jc w:val="left"/>
            </w:pPr>
            <w:r>
              <w:t>) </w:t>
            </w:r>
          </w:p>
        </w:tc>
      </w:tr>
      <w:tr>
        <w:tc>
          <w:tcPr>
            <w:tcW w:w="678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pBdr>
                <w:top w:val="single" w:sz="2" w:space="1" w:color="000000"/>
              </w:pBdr>
              <w:bidi w:val="0"/>
              <w:spacing w:before="0" w:after="0"/>
              <w:jc w:val="left"/>
            </w:pPr>
            <w:r>
              <w:t> </w:t>
            </w:r>
          </w:p>
        </w:tc>
        <w:tc>
          <w:tcPr>
            <w:tcW w:w="130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258"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Total Melco Resorts &amp; Entertainment Limited shareholders’ deficit</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 </w:t>
            </w:r>
          </w:p>
        </w:tc>
        <w:tc>
          <w:tcPr>
            <w:tcW w:w="1305" w:type="dxa"/>
            <w:tcBorders/>
            <w:vAlign w:val="bottom"/>
          </w:tcPr>
          <w:p>
            <w:pPr>
              <w:pStyle w:val="TableContents"/>
              <w:bidi w:val="0"/>
              <w:spacing w:before="0" w:after="283"/>
              <w:jc w:val="right"/>
            </w:pPr>
            <w:r>
              <w:t>(1,750,215</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58" w:type="dxa"/>
            <w:tcBorders/>
            <w:vAlign w:val="bottom"/>
          </w:tcPr>
          <w:p>
            <w:pPr>
              <w:pStyle w:val="TableContents"/>
              <w:bidi w:val="0"/>
              <w:spacing w:before="0" w:after="283"/>
              <w:jc w:val="right"/>
            </w:pPr>
            <w:r>
              <w:t>(1,246,602</w:t>
            </w:r>
          </w:p>
        </w:tc>
        <w:tc>
          <w:tcPr>
            <w:tcW w:w="158" w:type="dxa"/>
            <w:tcBorders/>
            <w:vAlign w:val="bottom"/>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 </w:t>
            </w:r>
          </w:p>
        </w:tc>
        <w:tc>
          <w:tcPr>
            <w:tcW w:w="1305" w:type="dxa"/>
            <w:tcBorders/>
            <w:shd w:fill="CCEEFF" w:val="clear"/>
            <w:vAlign w:val="bottom"/>
          </w:tcPr>
          <w:p>
            <w:pPr>
              <w:pStyle w:val="TableContents"/>
              <w:bidi w:val="0"/>
              <w:spacing w:before="0" w:after="283"/>
              <w:jc w:val="right"/>
            </w:pPr>
            <w:r>
              <w:t>300,551</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58" w:type="dxa"/>
            <w:tcBorders/>
            <w:shd w:fill="CCEEFF" w:val="clear"/>
            <w:vAlign w:val="bottom"/>
          </w:tcPr>
          <w:p>
            <w:pPr>
              <w:pStyle w:val="TableContents"/>
              <w:bidi w:val="0"/>
              <w:spacing w:before="0" w:after="283"/>
              <w:jc w:val="right"/>
            </w:pPr>
            <w:r>
              <w:t>342,973</w:t>
            </w:r>
          </w:p>
        </w:tc>
        <w:tc>
          <w:tcPr>
            <w:tcW w:w="158" w:type="dxa"/>
            <w:tcBorders/>
            <w:shd w:fill="CCEEFF" w:val="clear"/>
            <w:vAlign w:val="bottom"/>
          </w:tcPr>
          <w:p>
            <w:pPr>
              <w:pStyle w:val="TableContents"/>
              <w:bidi w:val="0"/>
              <w:spacing w:before="0" w:after="283"/>
              <w:jc w:val="left"/>
            </w:pPr>
            <w:r>
              <w:t> </w:t>
            </w:r>
          </w:p>
        </w:tc>
      </w:tr>
      <w:tr>
        <w:tc>
          <w:tcPr>
            <w:tcW w:w="678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pBdr>
                <w:top w:val="single" w:sz="2" w:space="1" w:color="000000"/>
              </w:pBdr>
              <w:bidi w:val="0"/>
              <w:spacing w:before="0" w:after="0"/>
              <w:jc w:val="left"/>
            </w:pPr>
            <w:r>
              <w:t> </w:t>
            </w:r>
          </w:p>
        </w:tc>
        <w:tc>
          <w:tcPr>
            <w:tcW w:w="130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258"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86" w:type="dxa"/>
            <w:tcBorders/>
          </w:tcPr>
          <w:p>
            <w:pPr>
              <w:pStyle w:val="TableContents"/>
              <w:bidi w:val="0"/>
              <w:spacing w:before="0" w:after="0"/>
              <w:jc w:val="left"/>
              <w:rPr>
                <w:rFonts w:ascii="Times New Roman" w:hAnsi="Times New Roman"/>
                <w:sz w:val="20"/>
              </w:rPr>
            </w:pPr>
            <w:r>
              <w:rPr>
                <w:rFonts w:ascii="Times New Roman" w:hAnsi="Times New Roman"/>
                <w:sz w:val="20"/>
              </w:rPr>
              <w:t>Total deficit</w:t>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bidi w:val="0"/>
              <w:spacing w:before="0" w:after="283"/>
              <w:jc w:val="left"/>
            </w:pPr>
            <w:r>
              <w:t> </w:t>
            </w:r>
          </w:p>
        </w:tc>
        <w:tc>
          <w:tcPr>
            <w:tcW w:w="1305" w:type="dxa"/>
            <w:tcBorders/>
            <w:vAlign w:val="bottom"/>
          </w:tcPr>
          <w:p>
            <w:pPr>
              <w:pStyle w:val="TableContents"/>
              <w:bidi w:val="0"/>
              <w:spacing w:before="0" w:after="283"/>
              <w:jc w:val="right"/>
            </w:pPr>
            <w:r>
              <w:t>(1,449,664</w:t>
            </w:r>
          </w:p>
        </w:tc>
        <w:tc>
          <w:tcPr>
            <w:tcW w:w="155" w:type="dxa"/>
            <w:tcBorders/>
            <w:vAlign w:val="bottom"/>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58" w:type="dxa"/>
            <w:tcBorders/>
            <w:vAlign w:val="bottom"/>
          </w:tcPr>
          <w:p>
            <w:pPr>
              <w:pStyle w:val="TableContents"/>
              <w:bidi w:val="0"/>
              <w:spacing w:before="0" w:after="283"/>
              <w:jc w:val="right"/>
            </w:pPr>
            <w:r>
              <w:t>(903,629</w:t>
            </w:r>
          </w:p>
        </w:tc>
        <w:tc>
          <w:tcPr>
            <w:tcW w:w="158" w:type="dxa"/>
            <w:tcBorders/>
            <w:vAlign w:val="bottom"/>
          </w:tcPr>
          <w:p>
            <w:pPr>
              <w:pStyle w:val="TableContents"/>
              <w:bidi w:val="0"/>
              <w:spacing w:before="0" w:after="283"/>
              <w:jc w:val="left"/>
            </w:pPr>
            <w:r>
              <w:t>) </w:t>
            </w:r>
          </w:p>
        </w:tc>
      </w:tr>
      <w:tr>
        <w:tc>
          <w:tcPr>
            <w:tcW w:w="678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pBdr>
                <w:top w:val="single" w:sz="2" w:space="1" w:color="000000"/>
              </w:pBdr>
              <w:bidi w:val="0"/>
              <w:spacing w:before="0" w:after="0"/>
              <w:jc w:val="left"/>
            </w:pPr>
            <w:r>
              <w:t> </w:t>
            </w:r>
          </w:p>
        </w:tc>
        <w:tc>
          <w:tcPr>
            <w:tcW w:w="130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258"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deficit</w:t>
            </w:r>
          </w:p>
        </w:tc>
        <w:tc>
          <w:tcPr>
            <w:tcW w:w="130" w:type="dxa"/>
            <w:tcBorders/>
            <w:shd w:fill="CCEEFF" w:val="clear"/>
            <w:vAlign w:val="bottom"/>
          </w:tcPr>
          <w:p>
            <w:pPr>
              <w:pStyle w:val="TableContents"/>
              <w:bidi w:val="0"/>
              <w:spacing w:before="0" w:after="283"/>
              <w:jc w:val="left"/>
            </w:pPr>
            <w:r>
              <w:t>  </w:t>
            </w:r>
          </w:p>
        </w:tc>
        <w:tc>
          <w:tcPr>
            <w:tcW w:w="172" w:type="dxa"/>
            <w:tcBorders/>
            <w:shd w:fill="CCEEFF" w:val="clear"/>
            <w:vAlign w:val="bottom"/>
          </w:tcPr>
          <w:p>
            <w:pPr>
              <w:pStyle w:val="TableContents"/>
              <w:bidi w:val="0"/>
              <w:spacing w:before="0" w:after="283"/>
              <w:jc w:val="left"/>
            </w:pPr>
            <w:r>
              <w:t>$</w:t>
            </w:r>
          </w:p>
        </w:tc>
        <w:tc>
          <w:tcPr>
            <w:tcW w:w="1305" w:type="dxa"/>
            <w:tcBorders/>
            <w:shd w:fill="CCEEFF" w:val="clear"/>
            <w:vAlign w:val="bottom"/>
          </w:tcPr>
          <w:p>
            <w:pPr>
              <w:pStyle w:val="TableContents"/>
              <w:bidi w:val="0"/>
              <w:spacing w:before="0" w:after="283"/>
              <w:jc w:val="right"/>
            </w:pPr>
            <w:r>
              <w:t>7,157,013</w:t>
            </w:r>
          </w:p>
        </w:tc>
        <w:tc>
          <w:tcPr>
            <w:tcW w:w="155" w:type="dxa"/>
            <w:tcBorders/>
            <w:shd w:fill="CCEEFF" w:val="clear"/>
            <w:vAlign w:val="bottom"/>
          </w:tcPr>
          <w:p>
            <w:pPr>
              <w:pStyle w:val="TableContents"/>
              <w:bidi w:val="0"/>
              <w:spacing w:before="0" w:after="283"/>
              <w:jc w:val="left"/>
            </w:pPr>
            <w:r>
              <w:t> </w:t>
            </w:r>
          </w:p>
        </w:tc>
        <w:tc>
          <w:tcPr>
            <w:tcW w:w="76"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w:t>
            </w:r>
          </w:p>
        </w:tc>
        <w:tc>
          <w:tcPr>
            <w:tcW w:w="1258" w:type="dxa"/>
            <w:tcBorders/>
            <w:shd w:fill="CCEEFF" w:val="clear"/>
            <w:vAlign w:val="bottom"/>
          </w:tcPr>
          <w:p>
            <w:pPr>
              <w:pStyle w:val="TableContents"/>
              <w:bidi w:val="0"/>
              <w:spacing w:before="0" w:after="283"/>
              <w:jc w:val="right"/>
            </w:pPr>
            <w:r>
              <w:t>7,597,688</w:t>
            </w:r>
          </w:p>
        </w:tc>
        <w:tc>
          <w:tcPr>
            <w:tcW w:w="158" w:type="dxa"/>
            <w:tcBorders/>
            <w:shd w:fill="CCEEFF" w:val="clear"/>
            <w:vAlign w:val="bottom"/>
          </w:tcPr>
          <w:p>
            <w:pPr>
              <w:pStyle w:val="TableContents"/>
              <w:bidi w:val="0"/>
              <w:spacing w:before="0" w:after="283"/>
              <w:jc w:val="left"/>
            </w:pPr>
            <w:r>
              <w:t> </w:t>
            </w:r>
          </w:p>
        </w:tc>
      </w:tr>
      <w:tr>
        <w:tc>
          <w:tcPr>
            <w:tcW w:w="678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72" w:type="dxa"/>
            <w:tcBorders/>
            <w:vAlign w:val="bottom"/>
          </w:tcPr>
          <w:p>
            <w:pPr>
              <w:pStyle w:val="TableContents"/>
              <w:pBdr>
                <w:top w:val="double" w:sz="6" w:space="1" w:color="000000"/>
              </w:pBdr>
              <w:bidi w:val="0"/>
              <w:spacing w:before="0" w:after="0"/>
              <w:jc w:val="left"/>
            </w:pPr>
            <w:r>
              <w:t> </w:t>
            </w:r>
          </w:p>
        </w:tc>
        <w:tc>
          <w:tcPr>
            <w:tcW w:w="130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6" w:type="dxa"/>
            <w:tcBorders/>
            <w:vAlign w:val="bottom"/>
          </w:tcPr>
          <w:p>
            <w:pPr>
              <w:pStyle w:val="TableContents"/>
              <w:bidi w:val="0"/>
              <w:spacing w:before="0" w:after="283"/>
              <w:jc w:val="left"/>
            </w:pPr>
            <w:r>
              <w:t> </w:t>
            </w:r>
          </w:p>
        </w:tc>
        <w:tc>
          <w:tcPr>
            <w:tcW w:w="165" w:type="dxa"/>
            <w:tcBorders/>
            <w:vAlign w:val="bottom"/>
          </w:tcPr>
          <w:p>
            <w:pPr>
              <w:pStyle w:val="TableContents"/>
              <w:pBdr>
                <w:top w:val="double" w:sz="6" w:space="1" w:color="000000"/>
              </w:pBdr>
              <w:bidi w:val="0"/>
              <w:spacing w:before="0" w:after="0"/>
              <w:jc w:val="left"/>
            </w:pPr>
            <w:r>
              <w:t> </w:t>
            </w:r>
          </w:p>
        </w:tc>
        <w:tc>
          <w:tcPr>
            <w:tcW w:w="1258"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p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Net Income Attributable to Melco Resorts &amp; Entertainment Limited to </w:t>
      </w:r>
    </w:p>
    <w:p>
      <w:pPr>
        <w:pStyle w:val="TextBody"/>
        <w:bidi w:val="0"/>
        <w:spacing w:before="0" w:after="0"/>
        <w:jc w:val="center"/>
        <w:rPr>
          <w:rFonts w:ascii="Times New Roman" w:hAnsi="Times New Roman"/>
          <w:b/>
          <w:sz w:val="20"/>
        </w:rPr>
      </w:pPr>
      <w:r>
        <w:rPr>
          <w:rFonts w:ascii="Times New Roman" w:hAnsi="Times New Roman"/>
          <w:b/>
          <w:sz w:val="20"/>
        </w:rPr>
        <w:t xml:space="preserve">Adjusted Net Income Attributable to Melco Resorts &amp; Entertainment Limited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3126"/>
        <w:gridCol w:w="72"/>
        <w:gridCol w:w="140"/>
        <w:gridCol w:w="1401"/>
        <w:gridCol w:w="155"/>
        <w:gridCol w:w="72"/>
        <w:gridCol w:w="140"/>
        <w:gridCol w:w="1401"/>
        <w:gridCol w:w="155"/>
        <w:gridCol w:w="72"/>
        <w:gridCol w:w="140"/>
        <w:gridCol w:w="1401"/>
        <w:gridCol w:w="155"/>
        <w:gridCol w:w="72"/>
        <w:gridCol w:w="140"/>
        <w:gridCol w:w="1401"/>
        <w:gridCol w:w="162"/>
      </w:tblGrid>
      <w:tr>
        <w:tc>
          <w:tcPr>
            <w:tcW w:w="3126"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126"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309" w:type="dxa"/>
            <w:gridSpan w:val="6"/>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309" w:type="dxa"/>
            <w:gridSpan w:val="6"/>
            <w:tcBorders/>
            <w:vAlign w:val="bottom"/>
          </w:tcPr>
          <w:p>
            <w:pPr>
              <w:pStyle w:val="TableContents"/>
              <w:bidi w:val="0"/>
              <w:spacing w:before="0" w:after="283"/>
              <w:jc w:val="center"/>
              <w:rPr>
                <w:b/>
              </w:rPr>
            </w:pPr>
            <w:r>
              <w:rPr>
                <w:b/>
              </w:rPr>
              <w:t>Nine Months Ended</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309" w:type="dxa"/>
            <w:gridSpan w:val="6"/>
            <w:tcBorders/>
            <w:vAlign w:val="bottom"/>
          </w:tcPr>
          <w:p>
            <w:pPr>
              <w:pStyle w:val="TableContents"/>
              <w:bidi w:val="0"/>
              <w:spacing w:before="0" w:after="283"/>
              <w:jc w:val="center"/>
              <w:rPr>
                <w:b/>
              </w:rPr>
            </w:pPr>
            <w:r>
              <w:rPr>
                <w:b/>
              </w:rPr>
              <w:t>September 30,</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309" w:type="dxa"/>
            <w:gridSpan w:val="6"/>
            <w:tcBorders/>
            <w:vAlign w:val="bottom"/>
          </w:tcPr>
          <w:p>
            <w:pPr>
              <w:pStyle w:val="TableContents"/>
              <w:bidi w:val="0"/>
              <w:spacing w:before="0" w:after="283"/>
              <w:jc w:val="center"/>
              <w:rPr>
                <w:b/>
              </w:rPr>
            </w:pPr>
            <w:r>
              <w:rPr>
                <w:b/>
              </w:rPr>
              <w:t>September 30,</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Melco Resorts &amp; Entertainment Limited</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34</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74,686</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99,527</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124,410</w:t>
            </w:r>
          </w:p>
        </w:tc>
        <w:tc>
          <w:tcPr>
            <w:tcW w:w="162" w:type="dxa"/>
            <w:tcBorders/>
            <w:shd w:fill="CCEEFF" w:val="clear"/>
            <w:vAlign w:val="bottom"/>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1,676</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7,393</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3,269</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50,416</w:t>
            </w:r>
          </w:p>
        </w:tc>
        <w:tc>
          <w:tcPr>
            <w:tcW w:w="162" w:type="dxa"/>
            <w:tcBorders/>
            <w:vAlign w:val="bottom"/>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1,706</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996</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4,134</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6,266</w:t>
            </w:r>
          </w:p>
        </w:tc>
        <w:tc>
          <w:tcPr>
            <w:tcW w:w="162" w:type="dxa"/>
            <w:tcBorders/>
            <w:shd w:fill="CCEEFF" w:val="clear"/>
            <w:vAlign w:val="bottom"/>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1,902</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234</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1,705</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47,420</w:t>
            </w:r>
          </w:p>
        </w:tc>
        <w:tc>
          <w:tcPr>
            <w:tcW w:w="162" w:type="dxa"/>
            <w:tcBorders/>
            <w:vAlign w:val="bottom"/>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1,259</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524</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2,639</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524</w:t>
            </w:r>
          </w:p>
        </w:tc>
        <w:tc>
          <w:tcPr>
            <w:tcW w:w="162" w:type="dxa"/>
            <w:tcBorders/>
            <w:shd w:fill="CCEEFF" w:val="clear"/>
            <w:vAlign w:val="bottom"/>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impact on adjustments</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(50</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(12</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(72</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(811</w:t>
            </w:r>
          </w:p>
        </w:tc>
        <w:tc>
          <w:tcPr>
            <w:tcW w:w="162" w:type="dxa"/>
            <w:tcBorders/>
            <w:vAlign w:val="bottom"/>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 impact on adjustments</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(41</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(138</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(670</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(1,190</w:t>
            </w:r>
          </w:p>
        </w:tc>
        <w:tc>
          <w:tcPr>
            <w:tcW w:w="162" w:type="dxa"/>
            <w:tcBorders/>
            <w:shd w:fill="CCEEFF" w:val="clear"/>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01"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Melco Resorts &amp; Entertainment Limited</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6,486</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83,683</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110,532</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227,035</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Melco Resorts &amp; Entertainment Limited</w:t>
              <w:br/>
              <w:t>per share:</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0.006</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0.071</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0.096</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0.189</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0.006</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0.071</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0.096</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0.188</w:t>
            </w:r>
          </w:p>
        </w:tc>
        <w:tc>
          <w:tcPr>
            <w:tcW w:w="162" w:type="dxa"/>
            <w:tcBorders/>
            <w:shd w:fill="CCEEFF" w:val="clear"/>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Melco Resorts &amp; Entertainment Limited</w:t>
              <w:br/>
              <w:t>per ADS:</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0.018</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0.214</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0.289</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401" w:type="dxa"/>
            <w:tcBorders/>
            <w:shd w:fill="CCEEFF" w:val="clear"/>
            <w:vAlign w:val="bottom"/>
          </w:tcPr>
          <w:p>
            <w:pPr>
              <w:pStyle w:val="TableContents"/>
              <w:bidi w:val="0"/>
              <w:spacing w:before="0" w:after="283"/>
              <w:jc w:val="right"/>
            </w:pPr>
            <w:r>
              <w:t>0.567</w:t>
            </w:r>
          </w:p>
        </w:tc>
        <w:tc>
          <w:tcPr>
            <w:tcW w:w="162" w:type="dxa"/>
            <w:tcBorders/>
            <w:shd w:fill="CCEEFF" w:val="clear"/>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0.018</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0.212</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0.288</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01" w:type="dxa"/>
            <w:tcBorders/>
            <w:vAlign w:val="bottom"/>
          </w:tcPr>
          <w:p>
            <w:pPr>
              <w:pStyle w:val="TableContents"/>
              <w:bidi w:val="0"/>
              <w:spacing w:before="0" w:after="283"/>
              <w:jc w:val="right"/>
            </w:pPr>
            <w:r>
              <w:t>0.564</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used in adjusted net income attributable</w:t>
              <w:br/>
              <w:t>to Melco Resorts &amp; Entertainment Limited per share calculation:</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1,104,504,749</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1,171,585,944</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1,146,144,003</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01" w:type="dxa"/>
            <w:tcBorders/>
            <w:vAlign w:val="bottom"/>
          </w:tcPr>
          <w:p>
            <w:pPr>
              <w:pStyle w:val="TableContents"/>
              <w:bidi w:val="0"/>
              <w:spacing w:before="0" w:after="283"/>
              <w:jc w:val="right"/>
            </w:pPr>
            <w:r>
              <w:t>1,201,377,034</w:t>
            </w:r>
          </w:p>
        </w:tc>
        <w:tc>
          <w:tcPr>
            <w:tcW w:w="162" w:type="dxa"/>
            <w:tcBorders/>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1,108,390,113</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1,184,132,090</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1,151,344,779</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01" w:type="dxa"/>
            <w:tcBorders/>
            <w:shd w:fill="CCEEFF" w:val="clear"/>
            <w:vAlign w:val="bottom"/>
          </w:tcPr>
          <w:p>
            <w:pPr>
              <w:pStyle w:val="TableContents"/>
              <w:bidi w:val="0"/>
              <w:spacing w:before="0" w:after="283"/>
              <w:jc w:val="right"/>
            </w:pPr>
            <w:r>
              <w:t>1,207,524,521</w:t>
            </w:r>
          </w:p>
        </w:tc>
        <w:tc>
          <w:tcPr>
            <w:tcW w:w="162" w:type="dxa"/>
            <w:tcBorders/>
            <w:shd w:fill="CCEEFF" w:val="clear"/>
            <w:vAlign w:val="bottom"/>
          </w:tcPr>
          <w:p>
            <w:pPr>
              <w:pStyle w:val="TableContents"/>
              <w:bidi w:val="0"/>
              <w:spacing w:before="0" w:after="283"/>
              <w:jc w:val="left"/>
            </w:pPr>
            <w:r>
              <w:t> </w:t>
            </w:r>
          </w:p>
        </w:tc>
      </w:tr>
      <w:tr>
        <w:tc>
          <w:tcPr>
            <w:tcW w:w="3126"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0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p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Operating Income to Adjusted EBITDA and Adjusted Property EBITDA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pPr>
      <w:r>
        <w:t> </w:t>
      </w:r>
    </w:p>
    <w:tbl>
      <w:tblPr>
        <w:tblW w:w="12430" w:type="dxa"/>
        <w:jc w:val="center"/>
        <w:tblInd w:w="0" w:type="dxa"/>
        <w:tblLayout w:type="fixed"/>
        <w:tblCellMar>
          <w:top w:w="0" w:type="dxa"/>
          <w:left w:w="0" w:type="dxa"/>
          <w:bottom w:w="0" w:type="dxa"/>
          <w:right w:w="0" w:type="dxa"/>
        </w:tblCellMar>
      </w:tblPr>
      <w:tblGrid>
        <w:gridCol w:w="995"/>
        <w:gridCol w:w="60"/>
        <w:gridCol w:w="140"/>
        <w:gridCol w:w="800"/>
        <w:gridCol w:w="155"/>
        <w:gridCol w:w="60"/>
        <w:gridCol w:w="140"/>
        <w:gridCol w:w="800"/>
        <w:gridCol w:w="155"/>
        <w:gridCol w:w="60"/>
        <w:gridCol w:w="140"/>
        <w:gridCol w:w="635"/>
        <w:gridCol w:w="155"/>
        <w:gridCol w:w="60"/>
        <w:gridCol w:w="235"/>
        <w:gridCol w:w="940"/>
        <w:gridCol w:w="60"/>
        <w:gridCol w:w="60"/>
        <w:gridCol w:w="140"/>
        <w:gridCol w:w="680"/>
        <w:gridCol w:w="60"/>
        <w:gridCol w:w="60"/>
        <w:gridCol w:w="267"/>
        <w:gridCol w:w="1298"/>
        <w:gridCol w:w="60"/>
        <w:gridCol w:w="60"/>
        <w:gridCol w:w="230"/>
        <w:gridCol w:w="1170"/>
        <w:gridCol w:w="155"/>
        <w:gridCol w:w="60"/>
        <w:gridCol w:w="206"/>
        <w:gridCol w:w="1119"/>
        <w:gridCol w:w="155"/>
        <w:gridCol w:w="60"/>
        <w:gridCol w:w="140"/>
        <w:gridCol w:w="800"/>
        <w:gridCol w:w="60"/>
      </w:tblGrid>
      <w:t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c>
          <w:tcPr>
            <w:tcW w:w="99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315"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 2026</w:t>
            </w:r>
          </w:p>
        </w:tc>
        <w:tc>
          <w:tcPr>
            <w:tcW w:w="60" w:type="dxa"/>
            <w:tcBorders/>
            <w:vAlign w:val="bottom"/>
          </w:tcPr>
          <w:p>
            <w:pPr>
              <w:pStyle w:val="TableContents"/>
              <w:bidi w:val="0"/>
              <w:spacing w:before="0" w:after="283"/>
              <w:jc w:val="left"/>
            </w:pPr>
            <w:r>
              <w:t> </w:t>
            </w:r>
          </w:p>
        </w:tc>
      </w:tr>
      <w:tr>
        <w:tc>
          <w:tcPr>
            <w:tcW w:w="99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Studio</w:t>
              <w:br/>
              <w:t>City</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Altira</w:t>
              <w:br/>
              <w:t>Macau</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Mocha (3)</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br/>
              <w:t>Manila</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 Dreams</w:t>
              <w:br/>
              <w:t>Mediterranean</w:t>
              <w:br/>
              <w:t>and Other</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Operations (4)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w:t>
              <w:br/>
              <w:t>and Other</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income (loss)</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71,571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34,984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35" w:type="dxa"/>
            <w:tcBorders/>
            <w:shd w:fill="CCEEFF" w:val="clear"/>
            <w:vAlign w:val="bottom"/>
          </w:tcPr>
          <w:p>
            <w:pPr>
              <w:pStyle w:val="TableContents"/>
              <w:bidi w:val="0"/>
              <w:spacing w:before="0" w:after="283"/>
              <w:jc w:val="right"/>
            </w:pPr>
            <w:r>
              <w:t>(2,000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5" w:type="dxa"/>
            <w:tcBorders/>
            <w:shd w:fill="CCEEFF" w:val="clear"/>
            <w:vAlign w:val="bottom"/>
          </w:tcPr>
          <w:p>
            <w:pPr>
              <w:pStyle w:val="TableContents"/>
              <w:bidi w:val="0"/>
              <w:spacing w:before="0" w:after="283"/>
              <w:jc w:val="left"/>
            </w:pPr>
            <w:r>
              <w:t>$</w:t>
            </w:r>
          </w:p>
        </w:tc>
        <w:tc>
          <w:tcPr>
            <w:tcW w:w="940" w:type="dxa"/>
            <w:tcBorders/>
            <w:shd w:fill="CCEEFF" w:val="clear"/>
            <w:vAlign w:val="bottom"/>
          </w:tcPr>
          <w:p>
            <w:pPr>
              <w:pStyle w:val="TableContents"/>
              <w:bidi w:val="0"/>
              <w:spacing w:before="0" w:after="283"/>
              <w:jc w:val="right"/>
            </w:pPr>
            <w:r>
              <w:t>3,269</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80" w:type="dxa"/>
            <w:tcBorders/>
            <w:shd w:fill="CCEEFF" w:val="clear"/>
            <w:vAlign w:val="bottom"/>
          </w:tcPr>
          <w:p>
            <w:pPr>
              <w:pStyle w:val="TableContents"/>
              <w:bidi w:val="0"/>
              <w:spacing w:before="0" w:after="283"/>
              <w:jc w:val="right"/>
            </w:pPr>
            <w:r>
              <w:t>17,554</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w:t>
            </w:r>
          </w:p>
        </w:tc>
        <w:tc>
          <w:tcPr>
            <w:tcW w:w="1298" w:type="dxa"/>
            <w:tcBorders/>
            <w:shd w:fill="CCEEFF" w:val="clear"/>
            <w:vAlign w:val="bottom"/>
          </w:tcPr>
          <w:p>
            <w:pPr>
              <w:pStyle w:val="TableContents"/>
              <w:bidi w:val="0"/>
              <w:spacing w:before="0" w:after="283"/>
              <w:jc w:val="right"/>
            </w:pPr>
            <w:r>
              <w:t>12,232</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w:t>
            </w:r>
          </w:p>
        </w:tc>
        <w:tc>
          <w:tcPr>
            <w:tcW w:w="1170" w:type="dxa"/>
            <w:tcBorders/>
            <w:shd w:fill="CCEEFF" w:val="clear"/>
            <w:vAlign w:val="bottom"/>
          </w:tcPr>
          <w:p>
            <w:pPr>
              <w:pStyle w:val="TableContents"/>
              <w:bidi w:val="0"/>
              <w:spacing w:before="0" w:after="283"/>
              <w:jc w:val="right"/>
            </w:pPr>
            <w:r>
              <w:t>(853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w:t>
            </w:r>
          </w:p>
        </w:tc>
        <w:tc>
          <w:tcPr>
            <w:tcW w:w="1119" w:type="dxa"/>
            <w:tcBorders/>
            <w:shd w:fill="CCEEFF" w:val="clear"/>
            <w:vAlign w:val="bottom"/>
          </w:tcPr>
          <w:p>
            <w:pPr>
              <w:pStyle w:val="TableContents"/>
              <w:bidi w:val="0"/>
              <w:spacing w:before="0" w:after="283"/>
              <w:jc w:val="right"/>
            </w:pPr>
            <w:r>
              <w:t>(36,541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100,216</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Payments to the Philippine Parties</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5" w:type="dxa"/>
            <w:tcBorders/>
            <w:vAlign w:val="bottom"/>
          </w:tcPr>
          <w:p>
            <w:pPr>
              <w:pStyle w:val="TableContents"/>
              <w:bidi w:val="0"/>
              <w:spacing w:before="0" w:after="283"/>
              <w:jc w:val="left"/>
            </w:pPr>
            <w:r>
              <w:t> </w:t>
            </w:r>
          </w:p>
        </w:tc>
        <w:tc>
          <w:tcPr>
            <w:tcW w:w="94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80" w:type="dxa"/>
            <w:tcBorders/>
            <w:vAlign w:val="bottom"/>
          </w:tcPr>
          <w:p>
            <w:pPr>
              <w:pStyle w:val="TableContents"/>
              <w:bidi w:val="0"/>
              <w:spacing w:before="0" w:after="283"/>
              <w:jc w:val="right"/>
            </w:pPr>
            <w:r>
              <w:t>8,155</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11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8,155</w:t>
            </w:r>
          </w:p>
        </w:tc>
        <w:tc>
          <w:tcPr>
            <w:tcW w:w="60" w:type="dxa"/>
            <w:tcBorders/>
            <w:vAlign w:val="bottom"/>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Integrated resort and casino rent (5)</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5" w:type="dxa"/>
            <w:tcBorders/>
            <w:shd w:fill="CCEEFF" w:val="clear"/>
            <w:vAlign w:val="bottom"/>
          </w:tcPr>
          <w:p>
            <w:pPr>
              <w:pStyle w:val="TableContents"/>
              <w:bidi w:val="0"/>
              <w:spacing w:before="0" w:after="283"/>
              <w:jc w:val="left"/>
            </w:pPr>
            <w:r>
              <w:t> </w:t>
            </w:r>
          </w:p>
        </w:tc>
        <w:tc>
          <w:tcPr>
            <w:tcW w:w="94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80" w:type="dxa"/>
            <w:tcBorders/>
            <w:shd w:fill="CCEEFF" w:val="clear"/>
            <w:vAlign w:val="bottom"/>
          </w:tcPr>
          <w:p>
            <w:pPr>
              <w:pStyle w:val="TableContents"/>
              <w:bidi w:val="0"/>
              <w:spacing w:before="0" w:after="283"/>
              <w:jc w:val="right"/>
            </w:pPr>
            <w:r>
              <w:t>1,463</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 </w:t>
            </w:r>
          </w:p>
        </w:tc>
        <w:tc>
          <w:tcPr>
            <w:tcW w:w="1298"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170" w:type="dxa"/>
            <w:tcBorders/>
            <w:shd w:fill="CCEEFF" w:val="clear"/>
            <w:vAlign w:val="bottom"/>
          </w:tcPr>
          <w:p>
            <w:pPr>
              <w:pStyle w:val="TableContents"/>
              <w:bidi w:val="0"/>
              <w:spacing w:before="0" w:after="283"/>
              <w:jc w:val="right"/>
            </w:pPr>
            <w:r>
              <w:t>1,828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 </w:t>
            </w:r>
          </w:p>
        </w:tc>
        <w:tc>
          <w:tcPr>
            <w:tcW w:w="111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3,291</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Pre-opening costs</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1,555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92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5" w:type="dxa"/>
            <w:tcBorders/>
            <w:vAlign w:val="bottom"/>
          </w:tcPr>
          <w:p>
            <w:pPr>
              <w:pStyle w:val="TableContents"/>
              <w:bidi w:val="0"/>
              <w:spacing w:before="0" w:after="283"/>
              <w:jc w:val="left"/>
            </w:pPr>
            <w:r>
              <w:t> </w:t>
            </w:r>
          </w:p>
        </w:tc>
        <w:tc>
          <w:tcPr>
            <w:tcW w:w="94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119" w:type="dxa"/>
            <w:tcBorders/>
            <w:vAlign w:val="bottom"/>
          </w:tcPr>
          <w:p>
            <w:pPr>
              <w:pStyle w:val="TableContents"/>
              <w:bidi w:val="0"/>
              <w:spacing w:before="0" w:after="283"/>
              <w:jc w:val="right"/>
            </w:pPr>
            <w:r>
              <w:t>29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1,676</w:t>
            </w:r>
          </w:p>
        </w:tc>
        <w:tc>
          <w:tcPr>
            <w:tcW w:w="60" w:type="dxa"/>
            <w:tcBorders/>
            <w:vAlign w:val="bottom"/>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Development costs</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5" w:type="dxa"/>
            <w:tcBorders/>
            <w:shd w:fill="CCEEFF" w:val="clear"/>
            <w:vAlign w:val="bottom"/>
          </w:tcPr>
          <w:p>
            <w:pPr>
              <w:pStyle w:val="TableContents"/>
              <w:bidi w:val="0"/>
              <w:spacing w:before="0" w:after="283"/>
              <w:jc w:val="left"/>
            </w:pPr>
            <w:r>
              <w:t> </w:t>
            </w:r>
          </w:p>
        </w:tc>
        <w:tc>
          <w:tcPr>
            <w:tcW w:w="94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8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 </w:t>
            </w:r>
          </w:p>
        </w:tc>
        <w:tc>
          <w:tcPr>
            <w:tcW w:w="1298"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17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 </w:t>
            </w:r>
          </w:p>
        </w:tc>
        <w:tc>
          <w:tcPr>
            <w:tcW w:w="1119" w:type="dxa"/>
            <w:tcBorders/>
            <w:shd w:fill="CCEEFF" w:val="clear"/>
            <w:vAlign w:val="bottom"/>
          </w:tcPr>
          <w:p>
            <w:pPr>
              <w:pStyle w:val="TableContents"/>
              <w:bidi w:val="0"/>
              <w:spacing w:before="0" w:after="283"/>
              <w:jc w:val="right"/>
            </w:pPr>
            <w:r>
              <w:t>1,706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1,706</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54,461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55,436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887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5" w:type="dxa"/>
            <w:tcBorders/>
            <w:vAlign w:val="bottom"/>
          </w:tcPr>
          <w:p>
            <w:pPr>
              <w:pStyle w:val="TableContents"/>
              <w:bidi w:val="0"/>
              <w:spacing w:before="0" w:after="283"/>
              <w:jc w:val="left"/>
            </w:pPr>
            <w:r>
              <w:t> </w:t>
            </w:r>
          </w:p>
        </w:tc>
        <w:tc>
          <w:tcPr>
            <w:tcW w:w="940" w:type="dxa"/>
            <w:tcBorders/>
            <w:vAlign w:val="bottom"/>
          </w:tcPr>
          <w:p>
            <w:pPr>
              <w:pStyle w:val="TableContents"/>
              <w:bidi w:val="0"/>
              <w:spacing w:before="0" w:after="283"/>
              <w:jc w:val="right"/>
            </w:pPr>
            <w:r>
              <w:t>1,025</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80" w:type="dxa"/>
            <w:tcBorders/>
            <w:vAlign w:val="bottom"/>
          </w:tcPr>
          <w:p>
            <w:pPr>
              <w:pStyle w:val="TableContents"/>
              <w:bidi w:val="0"/>
              <w:spacing w:before="0" w:after="283"/>
              <w:jc w:val="right"/>
            </w:pPr>
            <w:r>
              <w:t>4,448</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13,293</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3,008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119" w:type="dxa"/>
            <w:tcBorders/>
            <w:vAlign w:val="bottom"/>
          </w:tcPr>
          <w:p>
            <w:pPr>
              <w:pStyle w:val="TableContents"/>
              <w:bidi w:val="0"/>
              <w:spacing w:before="0" w:after="283"/>
              <w:jc w:val="right"/>
            </w:pPr>
            <w:r>
              <w:t>5,751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138,309</w:t>
            </w:r>
          </w:p>
        </w:tc>
        <w:tc>
          <w:tcPr>
            <w:tcW w:w="60" w:type="dxa"/>
            <w:tcBorders/>
            <w:vAlign w:val="bottom"/>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Share-based compensation</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1,903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551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132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5" w:type="dxa"/>
            <w:tcBorders/>
            <w:shd w:fill="CCEEFF" w:val="clear"/>
            <w:vAlign w:val="bottom"/>
          </w:tcPr>
          <w:p>
            <w:pPr>
              <w:pStyle w:val="TableContents"/>
              <w:bidi w:val="0"/>
              <w:spacing w:before="0" w:after="283"/>
              <w:jc w:val="left"/>
            </w:pPr>
            <w:r>
              <w:t> </w:t>
            </w:r>
          </w:p>
        </w:tc>
        <w:tc>
          <w:tcPr>
            <w:tcW w:w="940" w:type="dxa"/>
            <w:tcBorders/>
            <w:shd w:fill="CCEEFF" w:val="clear"/>
            <w:vAlign w:val="bottom"/>
          </w:tcPr>
          <w:p>
            <w:pPr>
              <w:pStyle w:val="TableContents"/>
              <w:bidi w:val="0"/>
              <w:spacing w:before="0" w:after="283"/>
              <w:jc w:val="right"/>
            </w:pPr>
            <w:r>
              <w:t>38</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80" w:type="dxa"/>
            <w:tcBorders/>
            <w:shd w:fill="CCEEFF" w:val="clear"/>
            <w:vAlign w:val="bottom"/>
          </w:tcPr>
          <w:p>
            <w:pPr>
              <w:pStyle w:val="TableContents"/>
              <w:bidi w:val="0"/>
              <w:spacing w:before="0" w:after="283"/>
              <w:jc w:val="right"/>
            </w:pPr>
            <w:r>
              <w:t>1,115</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 </w:t>
            </w:r>
          </w:p>
        </w:tc>
        <w:tc>
          <w:tcPr>
            <w:tcW w:w="1298" w:type="dxa"/>
            <w:tcBorders/>
            <w:shd w:fill="CCEEFF" w:val="clear"/>
            <w:vAlign w:val="bottom"/>
          </w:tcPr>
          <w:p>
            <w:pPr>
              <w:pStyle w:val="TableContents"/>
              <w:bidi w:val="0"/>
              <w:spacing w:before="0" w:after="283"/>
              <w:jc w:val="right"/>
            </w:pPr>
            <w:r>
              <w:t>88</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170" w:type="dxa"/>
            <w:tcBorders/>
            <w:shd w:fill="CCEEFF" w:val="clear"/>
            <w:vAlign w:val="bottom"/>
          </w:tcPr>
          <w:p>
            <w:pPr>
              <w:pStyle w:val="TableContents"/>
              <w:bidi w:val="0"/>
              <w:spacing w:before="0" w:after="283"/>
              <w:jc w:val="right"/>
            </w:pPr>
            <w:r>
              <w:t>31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 </w:t>
            </w:r>
          </w:p>
        </w:tc>
        <w:tc>
          <w:tcPr>
            <w:tcW w:w="1119" w:type="dxa"/>
            <w:tcBorders/>
            <w:shd w:fill="CCEEFF" w:val="clear"/>
            <w:vAlign w:val="bottom"/>
          </w:tcPr>
          <w:p>
            <w:pPr>
              <w:pStyle w:val="TableContents"/>
              <w:bidi w:val="0"/>
              <w:spacing w:before="0" w:after="283"/>
              <w:jc w:val="right"/>
            </w:pPr>
            <w:r>
              <w:t>5,568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9,426</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Property charges and other</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854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(496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693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5" w:type="dxa"/>
            <w:tcBorders/>
            <w:vAlign w:val="bottom"/>
          </w:tcPr>
          <w:p>
            <w:pPr>
              <w:pStyle w:val="TableContents"/>
              <w:bidi w:val="0"/>
              <w:spacing w:before="0" w:after="283"/>
              <w:jc w:val="left"/>
            </w:pPr>
            <w:r>
              <w:t> </w:t>
            </w:r>
          </w:p>
        </w:tc>
        <w:tc>
          <w:tcPr>
            <w:tcW w:w="94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80" w:type="dxa"/>
            <w:tcBorders/>
            <w:vAlign w:val="bottom"/>
          </w:tcPr>
          <w:p>
            <w:pPr>
              <w:pStyle w:val="TableContents"/>
              <w:bidi w:val="0"/>
              <w:spacing w:before="0" w:after="283"/>
              <w:jc w:val="right"/>
            </w:pPr>
            <w:r>
              <w:t>186</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47</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119" w:type="dxa"/>
            <w:tcBorders/>
            <w:vAlign w:val="bottom"/>
          </w:tcPr>
          <w:p>
            <w:pPr>
              <w:pStyle w:val="TableContents"/>
              <w:bidi w:val="0"/>
              <w:spacing w:before="0" w:after="283"/>
              <w:jc w:val="right"/>
            </w:pPr>
            <w:r>
              <w:t>618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1,902</w:t>
            </w:r>
          </w:p>
        </w:tc>
        <w:tc>
          <w:tcPr>
            <w:tcW w:w="60" w:type="dxa"/>
            <w:tcBorders/>
            <w:vAlign w:val="bottom"/>
          </w:tcPr>
          <w:p>
            <w:pPr>
              <w:pStyle w:val="TableContents"/>
              <w:bidi w:val="0"/>
              <w:spacing w:before="0" w:after="283"/>
              <w:jc w:val="left"/>
            </w:pPr>
            <w:r>
              <w:t> </w:t>
            </w:r>
          </w:p>
        </w:tc>
      </w:tr>
      <w:t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5" w:type="dxa"/>
            <w:tcBorders/>
            <w:vAlign w:val="bottom"/>
          </w:tcPr>
          <w:p>
            <w:pPr>
              <w:pStyle w:val="TableContents"/>
              <w:pBdr>
                <w:top w:val="single" w:sz="2" w:space="1" w:color="000000"/>
              </w:pBdr>
              <w:bidi w:val="0"/>
              <w:spacing w:before="0" w:after="0"/>
              <w:jc w:val="left"/>
            </w:pPr>
            <w:r>
              <w:t> </w:t>
            </w:r>
          </w:p>
        </w:tc>
        <w:tc>
          <w:tcPr>
            <w:tcW w:w="94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pBdr>
                <w:top w:val="single" w:sz="2" w:space="1" w:color="000000"/>
              </w:pBdr>
              <w:bidi w:val="0"/>
              <w:spacing w:before="0" w:after="0"/>
              <w:jc w:val="left"/>
            </w:pPr>
            <w:r>
              <w:t> </w:t>
            </w:r>
          </w:p>
        </w:tc>
        <w:tc>
          <w:tcPr>
            <w:tcW w:w="129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17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pBdr>
                <w:top w:val="single" w:sz="2" w:space="1" w:color="000000"/>
              </w:pBdr>
              <w:bidi w:val="0"/>
              <w:spacing w:before="0" w:after="0"/>
              <w:jc w:val="left"/>
            </w:pPr>
            <w:r>
              <w:t> </w:t>
            </w:r>
          </w:p>
        </w:tc>
        <w:tc>
          <w:tcPr>
            <w:tcW w:w="11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Adjusted EBITDA</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130,344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90,567</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(288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5" w:type="dxa"/>
            <w:tcBorders/>
            <w:shd w:fill="CCEEFF" w:val="clear"/>
            <w:vAlign w:val="bottom"/>
          </w:tcPr>
          <w:p>
            <w:pPr>
              <w:pStyle w:val="TableContents"/>
              <w:bidi w:val="0"/>
              <w:spacing w:before="0" w:after="283"/>
              <w:jc w:val="left"/>
            </w:pPr>
            <w:r>
              <w:t> </w:t>
            </w:r>
          </w:p>
        </w:tc>
        <w:tc>
          <w:tcPr>
            <w:tcW w:w="940" w:type="dxa"/>
            <w:tcBorders/>
            <w:shd w:fill="CCEEFF" w:val="clear"/>
            <w:vAlign w:val="bottom"/>
          </w:tcPr>
          <w:p>
            <w:pPr>
              <w:pStyle w:val="TableContents"/>
              <w:bidi w:val="0"/>
              <w:spacing w:before="0" w:after="283"/>
              <w:jc w:val="right"/>
            </w:pPr>
            <w:r>
              <w:t>4,332</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80" w:type="dxa"/>
            <w:tcBorders/>
            <w:shd w:fill="CCEEFF" w:val="clear"/>
            <w:vAlign w:val="bottom"/>
          </w:tcPr>
          <w:p>
            <w:pPr>
              <w:pStyle w:val="TableContents"/>
              <w:bidi w:val="0"/>
              <w:spacing w:before="0" w:after="283"/>
              <w:jc w:val="right"/>
            </w:pPr>
            <w:r>
              <w:t>32,921</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 </w:t>
            </w:r>
          </w:p>
        </w:tc>
        <w:tc>
          <w:tcPr>
            <w:tcW w:w="1298" w:type="dxa"/>
            <w:tcBorders/>
            <w:shd w:fill="CCEEFF" w:val="clear"/>
            <w:vAlign w:val="bottom"/>
          </w:tcPr>
          <w:p>
            <w:pPr>
              <w:pStyle w:val="TableContents"/>
              <w:bidi w:val="0"/>
              <w:spacing w:before="0" w:after="283"/>
              <w:jc w:val="right"/>
            </w:pPr>
            <w:r>
              <w:t>25,660</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170" w:type="dxa"/>
            <w:tcBorders/>
            <w:shd w:fill="CCEEFF" w:val="clear"/>
            <w:vAlign w:val="bottom"/>
          </w:tcPr>
          <w:p>
            <w:pPr>
              <w:pStyle w:val="TableContents"/>
              <w:bidi w:val="0"/>
              <w:spacing w:before="0" w:after="283"/>
              <w:jc w:val="right"/>
            </w:pPr>
            <w:r>
              <w:t>4,014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 </w:t>
            </w:r>
          </w:p>
        </w:tc>
        <w:tc>
          <w:tcPr>
            <w:tcW w:w="1119" w:type="dxa"/>
            <w:tcBorders/>
            <w:shd w:fill="CCEEFF" w:val="clear"/>
            <w:vAlign w:val="bottom"/>
          </w:tcPr>
          <w:p>
            <w:pPr>
              <w:pStyle w:val="TableContents"/>
              <w:bidi w:val="0"/>
              <w:spacing w:before="0" w:after="283"/>
              <w:jc w:val="right"/>
            </w:pPr>
            <w:r>
              <w:t>(22,869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264,681</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Corporate and Other expenses</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5" w:type="dxa"/>
            <w:tcBorders/>
            <w:vAlign w:val="bottom"/>
          </w:tcPr>
          <w:p>
            <w:pPr>
              <w:pStyle w:val="TableContents"/>
              <w:bidi w:val="0"/>
              <w:spacing w:before="0" w:after="283"/>
              <w:jc w:val="left"/>
            </w:pPr>
            <w:r>
              <w:t> </w:t>
            </w:r>
          </w:p>
        </w:tc>
        <w:tc>
          <w:tcPr>
            <w:tcW w:w="94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119" w:type="dxa"/>
            <w:tcBorders/>
            <w:vAlign w:val="bottom"/>
          </w:tcPr>
          <w:p>
            <w:pPr>
              <w:pStyle w:val="TableContents"/>
              <w:bidi w:val="0"/>
              <w:spacing w:before="0" w:after="283"/>
              <w:jc w:val="right"/>
            </w:pPr>
            <w:r>
              <w:t>22,869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22,869</w:t>
            </w:r>
          </w:p>
        </w:tc>
        <w:tc>
          <w:tcPr>
            <w:tcW w:w="60" w:type="dxa"/>
            <w:tcBorders/>
            <w:vAlign w:val="bottom"/>
          </w:tcPr>
          <w:p>
            <w:pPr>
              <w:pStyle w:val="TableContents"/>
              <w:bidi w:val="0"/>
              <w:spacing w:before="0" w:after="283"/>
              <w:jc w:val="left"/>
            </w:pPr>
            <w:r>
              <w:t> </w:t>
            </w:r>
          </w:p>
        </w:tc>
      </w:tr>
      <w:t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5" w:type="dxa"/>
            <w:tcBorders/>
            <w:vAlign w:val="bottom"/>
          </w:tcPr>
          <w:p>
            <w:pPr>
              <w:pStyle w:val="TableContents"/>
              <w:pBdr>
                <w:top w:val="single" w:sz="2" w:space="1" w:color="000000"/>
              </w:pBdr>
              <w:bidi w:val="0"/>
              <w:spacing w:before="0" w:after="0"/>
              <w:jc w:val="left"/>
            </w:pPr>
            <w:r>
              <w:t> </w:t>
            </w:r>
          </w:p>
        </w:tc>
        <w:tc>
          <w:tcPr>
            <w:tcW w:w="94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pBdr>
                <w:top w:val="single" w:sz="2" w:space="1" w:color="000000"/>
              </w:pBdr>
              <w:bidi w:val="0"/>
              <w:spacing w:before="0" w:after="0"/>
              <w:jc w:val="left"/>
            </w:pPr>
            <w:r>
              <w:t> </w:t>
            </w:r>
          </w:p>
        </w:tc>
        <w:tc>
          <w:tcPr>
            <w:tcW w:w="129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17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pBdr>
                <w:top w:val="single" w:sz="2" w:space="1" w:color="000000"/>
              </w:pBdr>
              <w:bidi w:val="0"/>
              <w:spacing w:before="0" w:after="0"/>
              <w:jc w:val="left"/>
            </w:pPr>
            <w:r>
              <w:t> </w:t>
            </w:r>
          </w:p>
        </w:tc>
        <w:tc>
          <w:tcPr>
            <w:tcW w:w="11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Adjusted Property EBITDA</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130,344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90,567</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35" w:type="dxa"/>
            <w:tcBorders/>
            <w:shd w:fill="CCEEFF" w:val="clear"/>
            <w:vAlign w:val="bottom"/>
          </w:tcPr>
          <w:p>
            <w:pPr>
              <w:pStyle w:val="TableContents"/>
              <w:bidi w:val="0"/>
              <w:spacing w:before="0" w:after="283"/>
              <w:jc w:val="right"/>
            </w:pPr>
            <w:r>
              <w:t>(288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5" w:type="dxa"/>
            <w:tcBorders/>
            <w:shd w:fill="CCEEFF" w:val="clear"/>
            <w:vAlign w:val="bottom"/>
          </w:tcPr>
          <w:p>
            <w:pPr>
              <w:pStyle w:val="TableContents"/>
              <w:bidi w:val="0"/>
              <w:spacing w:before="0" w:after="283"/>
              <w:jc w:val="left"/>
            </w:pPr>
            <w:r>
              <w:t>$</w:t>
            </w:r>
          </w:p>
        </w:tc>
        <w:tc>
          <w:tcPr>
            <w:tcW w:w="940" w:type="dxa"/>
            <w:tcBorders/>
            <w:shd w:fill="CCEEFF" w:val="clear"/>
            <w:vAlign w:val="bottom"/>
          </w:tcPr>
          <w:p>
            <w:pPr>
              <w:pStyle w:val="TableContents"/>
              <w:bidi w:val="0"/>
              <w:spacing w:before="0" w:after="283"/>
              <w:jc w:val="right"/>
            </w:pPr>
            <w:r>
              <w:t>4,332</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80" w:type="dxa"/>
            <w:tcBorders/>
            <w:shd w:fill="CCEEFF" w:val="clear"/>
            <w:vAlign w:val="bottom"/>
          </w:tcPr>
          <w:p>
            <w:pPr>
              <w:pStyle w:val="TableContents"/>
              <w:bidi w:val="0"/>
              <w:spacing w:before="0" w:after="283"/>
              <w:jc w:val="right"/>
            </w:pPr>
            <w:r>
              <w:t>32,921</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w:t>
            </w:r>
          </w:p>
        </w:tc>
        <w:tc>
          <w:tcPr>
            <w:tcW w:w="1298" w:type="dxa"/>
            <w:tcBorders/>
            <w:shd w:fill="CCEEFF" w:val="clear"/>
            <w:vAlign w:val="bottom"/>
          </w:tcPr>
          <w:p>
            <w:pPr>
              <w:pStyle w:val="TableContents"/>
              <w:bidi w:val="0"/>
              <w:spacing w:before="0" w:after="283"/>
              <w:jc w:val="right"/>
            </w:pPr>
            <w:r>
              <w:t>25,660</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w:t>
            </w:r>
          </w:p>
        </w:tc>
        <w:tc>
          <w:tcPr>
            <w:tcW w:w="1170" w:type="dxa"/>
            <w:tcBorders/>
            <w:shd w:fill="CCEEFF" w:val="clear"/>
            <w:vAlign w:val="bottom"/>
          </w:tcPr>
          <w:p>
            <w:pPr>
              <w:pStyle w:val="TableContents"/>
              <w:bidi w:val="0"/>
              <w:spacing w:before="0" w:after="283"/>
              <w:jc w:val="right"/>
            </w:pPr>
            <w:r>
              <w:t>4,014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w:t>
            </w:r>
          </w:p>
        </w:tc>
        <w:tc>
          <w:tcPr>
            <w:tcW w:w="111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287,550</w:t>
            </w:r>
          </w:p>
        </w:tc>
        <w:tc>
          <w:tcPr>
            <w:tcW w:w="60" w:type="dxa"/>
            <w:tcBorders/>
            <w:shd w:fill="CCEEFF" w:val="clear"/>
            <w:vAlign w:val="bottom"/>
          </w:tcPr>
          <w:p>
            <w:pPr>
              <w:pStyle w:val="TableContents"/>
              <w:bidi w:val="0"/>
              <w:spacing w:before="0" w:after="283"/>
              <w:jc w:val="left"/>
            </w:pPr>
            <w:r>
              <w:t> </w:t>
            </w:r>
          </w:p>
        </w:tc>
      </w:tr>
      <w:t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63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5" w:type="dxa"/>
            <w:tcBorders/>
            <w:vAlign w:val="bottom"/>
          </w:tcPr>
          <w:p>
            <w:pPr>
              <w:pStyle w:val="TableContents"/>
              <w:pBdr>
                <w:top w:val="double" w:sz="6" w:space="1" w:color="000000"/>
              </w:pBdr>
              <w:bidi w:val="0"/>
              <w:spacing w:before="0" w:after="0"/>
              <w:jc w:val="left"/>
            </w:pPr>
            <w:r>
              <w:t> </w:t>
            </w:r>
          </w:p>
        </w:tc>
        <w:tc>
          <w:tcPr>
            <w:tcW w:w="94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68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pBdr>
                <w:top w:val="double" w:sz="6" w:space="1" w:color="000000"/>
              </w:pBdr>
              <w:bidi w:val="0"/>
              <w:spacing w:before="0" w:after="0"/>
              <w:jc w:val="left"/>
            </w:pPr>
            <w:r>
              <w:t> </w:t>
            </w:r>
          </w:p>
        </w:tc>
        <w:tc>
          <w:tcPr>
            <w:tcW w:w="1298"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pBdr>
                <w:top w:val="double" w:sz="6" w:space="1" w:color="000000"/>
              </w:pBdr>
              <w:bidi w:val="0"/>
              <w:spacing w:before="0" w:after="0"/>
              <w:jc w:val="left"/>
            </w:pPr>
            <w:r>
              <w:t> </w:t>
            </w:r>
          </w:p>
        </w:tc>
        <w:tc>
          <w:tcPr>
            <w:tcW w:w="117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pBdr>
                <w:top w:val="double" w:sz="6" w:space="1" w:color="000000"/>
              </w:pBdr>
              <w:bidi w:val="0"/>
              <w:spacing w:before="0" w:after="0"/>
              <w:jc w:val="left"/>
            </w:pPr>
            <w:r>
              <w:t> </w:t>
            </w:r>
          </w:p>
        </w:tc>
        <w:tc>
          <w:tcPr>
            <w:tcW w:w="111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r>
        <w:trPr>
          <w:trHeight w:val="240" w:hRule="atLeast"/>
        </w:trPr>
        <w:tc>
          <w:tcPr>
            <w:tcW w:w="995" w:type="dxa"/>
            <w:tcBorders/>
            <w:vAlign w:val="center"/>
          </w:tcPr>
          <w:p>
            <w:pPr>
              <w:pStyle w:val="TableContents"/>
              <w:bidi w:val="0"/>
              <w:spacing w:before="0" w:after="283"/>
              <w:jc w:val="left"/>
              <w:rPr>
                <w:sz w:val="4"/>
                <w:szCs w:val="4"/>
              </w:rPr>
            </w:pPr>
            <w:r>
              <w:rPr>
                <w:sz w:val="4"/>
                <w:szCs w:val="4"/>
              </w:rPr>
            </w:r>
          </w:p>
        </w:tc>
        <w:tc>
          <w:tcPr>
            <w:tcW w:w="11435" w:type="dxa"/>
            <w:gridSpan w:val="36"/>
            <w:tcBorders/>
            <w:vAlign w:val="center"/>
          </w:tcPr>
          <w:p>
            <w:pPr>
              <w:pStyle w:val="TableContents"/>
              <w:bidi w:val="0"/>
              <w:spacing w:before="0" w:after="283"/>
              <w:jc w:val="left"/>
              <w:rPr>
                <w:sz w:val="4"/>
                <w:szCs w:val="4"/>
              </w:rPr>
            </w:pPr>
            <w:r>
              <w:rPr>
                <w:sz w:val="4"/>
                <w:szCs w:val="4"/>
              </w:rPr>
            </w:r>
          </w:p>
        </w:tc>
      </w:tr>
      <w:tr>
        <w:tc>
          <w:tcPr>
            <w:tcW w:w="99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315"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 2025</w:t>
            </w:r>
          </w:p>
        </w:tc>
        <w:tc>
          <w:tcPr>
            <w:tcW w:w="60" w:type="dxa"/>
            <w:tcBorders/>
            <w:vAlign w:val="bottom"/>
          </w:tcPr>
          <w:p>
            <w:pPr>
              <w:pStyle w:val="TableContents"/>
              <w:bidi w:val="0"/>
              <w:spacing w:before="0" w:after="283"/>
              <w:jc w:val="left"/>
            </w:pPr>
            <w:r>
              <w:t> </w:t>
            </w:r>
          </w:p>
        </w:tc>
      </w:tr>
      <w:tr>
        <w:tc>
          <w:tcPr>
            <w:tcW w:w="99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Studio</w:t>
              <w:br/>
              <w:t>City</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Altira</w:t>
              <w:br/>
              <w:t>Macau</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Mocha and</w:t>
              <w:br/>
              <w:t>Other (3)</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br/>
              <w:t>Manila</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 Dreams</w:t>
              <w:br/>
              <w:t>Mediterranean</w:t>
              <w:br/>
              <w:t>and Other</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Operations (4)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w:t>
              <w:br/>
              <w:t>and Other (4)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income (loss)</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153,803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45,914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35" w:type="dxa"/>
            <w:tcBorders/>
            <w:shd w:fill="CCEEFF" w:val="clear"/>
            <w:vAlign w:val="bottom"/>
          </w:tcPr>
          <w:p>
            <w:pPr>
              <w:pStyle w:val="TableContents"/>
              <w:bidi w:val="0"/>
              <w:spacing w:before="0" w:after="283"/>
              <w:jc w:val="right"/>
            </w:pPr>
            <w:r>
              <w:t>(2,275</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5" w:type="dxa"/>
            <w:tcBorders/>
            <w:shd w:fill="CCEEFF" w:val="clear"/>
            <w:vAlign w:val="bottom"/>
          </w:tcPr>
          <w:p>
            <w:pPr>
              <w:pStyle w:val="TableContents"/>
              <w:bidi w:val="0"/>
              <w:spacing w:before="0" w:after="283"/>
              <w:jc w:val="left"/>
            </w:pPr>
            <w:r>
              <w:t>$</w:t>
            </w:r>
          </w:p>
        </w:tc>
        <w:tc>
          <w:tcPr>
            <w:tcW w:w="940" w:type="dxa"/>
            <w:tcBorders/>
            <w:shd w:fill="CCEEFF" w:val="clear"/>
            <w:vAlign w:val="bottom"/>
          </w:tcPr>
          <w:p>
            <w:pPr>
              <w:pStyle w:val="TableContents"/>
              <w:bidi w:val="0"/>
              <w:spacing w:before="0" w:after="283"/>
              <w:jc w:val="right"/>
            </w:pPr>
            <w:r>
              <w:t>4,252</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80" w:type="dxa"/>
            <w:tcBorders/>
            <w:shd w:fill="CCEEFF" w:val="clear"/>
            <w:vAlign w:val="bottom"/>
          </w:tcPr>
          <w:p>
            <w:pPr>
              <w:pStyle w:val="TableContents"/>
              <w:bidi w:val="0"/>
              <w:spacing w:before="0" w:after="283"/>
              <w:jc w:val="right"/>
            </w:pPr>
            <w:r>
              <w:t>24,272</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w:t>
            </w:r>
          </w:p>
        </w:tc>
        <w:tc>
          <w:tcPr>
            <w:tcW w:w="1298" w:type="dxa"/>
            <w:tcBorders/>
            <w:shd w:fill="CCEEFF" w:val="clear"/>
            <w:vAlign w:val="bottom"/>
          </w:tcPr>
          <w:p>
            <w:pPr>
              <w:pStyle w:val="TableContents"/>
              <w:bidi w:val="0"/>
              <w:spacing w:before="0" w:after="283"/>
              <w:jc w:val="right"/>
            </w:pPr>
            <w:r>
              <w:t>9,537</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w:t>
            </w:r>
          </w:p>
        </w:tc>
        <w:tc>
          <w:tcPr>
            <w:tcW w:w="1170" w:type="dxa"/>
            <w:tcBorders/>
            <w:shd w:fill="CCEEFF" w:val="clear"/>
            <w:vAlign w:val="bottom"/>
          </w:tcPr>
          <w:p>
            <w:pPr>
              <w:pStyle w:val="TableContents"/>
              <w:bidi w:val="0"/>
              <w:spacing w:before="0" w:after="283"/>
              <w:jc w:val="right"/>
            </w:pPr>
            <w:r>
              <w:t>(11,119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w:t>
            </w:r>
          </w:p>
        </w:tc>
        <w:tc>
          <w:tcPr>
            <w:tcW w:w="1119" w:type="dxa"/>
            <w:tcBorders/>
            <w:shd w:fill="CCEEFF" w:val="clear"/>
            <w:vAlign w:val="bottom"/>
          </w:tcPr>
          <w:p>
            <w:pPr>
              <w:pStyle w:val="TableContents"/>
              <w:bidi w:val="0"/>
              <w:spacing w:before="0" w:after="283"/>
              <w:jc w:val="right"/>
            </w:pPr>
            <w:r>
              <w:t>(39,873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184,511</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Payments to the Philippine Parties</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5" w:type="dxa"/>
            <w:tcBorders/>
            <w:vAlign w:val="bottom"/>
          </w:tcPr>
          <w:p>
            <w:pPr>
              <w:pStyle w:val="TableContents"/>
              <w:bidi w:val="0"/>
              <w:spacing w:before="0" w:after="283"/>
              <w:jc w:val="left"/>
            </w:pPr>
            <w:r>
              <w:t> </w:t>
            </w:r>
          </w:p>
        </w:tc>
        <w:tc>
          <w:tcPr>
            <w:tcW w:w="94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80" w:type="dxa"/>
            <w:tcBorders/>
            <w:vAlign w:val="bottom"/>
          </w:tcPr>
          <w:p>
            <w:pPr>
              <w:pStyle w:val="TableContents"/>
              <w:bidi w:val="0"/>
              <w:spacing w:before="0" w:after="283"/>
              <w:jc w:val="right"/>
            </w:pPr>
            <w:r>
              <w:t>10,213</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11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10,213</w:t>
            </w:r>
          </w:p>
        </w:tc>
        <w:tc>
          <w:tcPr>
            <w:tcW w:w="60" w:type="dxa"/>
            <w:tcBorders/>
            <w:vAlign w:val="bottom"/>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Integrated resort and casino rent (5)</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5" w:type="dxa"/>
            <w:tcBorders/>
            <w:shd w:fill="CCEEFF" w:val="clear"/>
            <w:vAlign w:val="bottom"/>
          </w:tcPr>
          <w:p>
            <w:pPr>
              <w:pStyle w:val="TableContents"/>
              <w:bidi w:val="0"/>
              <w:spacing w:before="0" w:after="283"/>
              <w:jc w:val="left"/>
            </w:pPr>
            <w:r>
              <w:t> </w:t>
            </w:r>
          </w:p>
        </w:tc>
        <w:tc>
          <w:tcPr>
            <w:tcW w:w="94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80" w:type="dxa"/>
            <w:tcBorders/>
            <w:shd w:fill="CCEEFF" w:val="clear"/>
            <w:vAlign w:val="bottom"/>
          </w:tcPr>
          <w:p>
            <w:pPr>
              <w:pStyle w:val="TableContents"/>
              <w:bidi w:val="0"/>
              <w:spacing w:before="0" w:after="283"/>
              <w:jc w:val="right"/>
            </w:pPr>
            <w:r>
              <w:t>1,390</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 </w:t>
            </w:r>
          </w:p>
        </w:tc>
        <w:tc>
          <w:tcPr>
            <w:tcW w:w="1298"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170" w:type="dxa"/>
            <w:tcBorders/>
            <w:shd w:fill="CCEEFF" w:val="clear"/>
            <w:vAlign w:val="bottom"/>
          </w:tcPr>
          <w:p>
            <w:pPr>
              <w:pStyle w:val="TableContents"/>
              <w:bidi w:val="0"/>
              <w:spacing w:before="0" w:after="283"/>
              <w:jc w:val="right"/>
            </w:pPr>
            <w:r>
              <w:t>1,788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 </w:t>
            </w:r>
          </w:p>
        </w:tc>
        <w:tc>
          <w:tcPr>
            <w:tcW w:w="111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3,178</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Pre-opening costs (6)</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410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31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5" w:type="dxa"/>
            <w:tcBorders/>
            <w:vAlign w:val="bottom"/>
          </w:tcPr>
          <w:p>
            <w:pPr>
              <w:pStyle w:val="TableContents"/>
              <w:bidi w:val="0"/>
              <w:spacing w:before="0" w:after="283"/>
              <w:jc w:val="left"/>
            </w:pPr>
            <w:r>
              <w:t> </w:t>
            </w:r>
          </w:p>
        </w:tc>
        <w:tc>
          <w:tcPr>
            <w:tcW w:w="94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6,359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11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6,800</w:t>
            </w:r>
          </w:p>
        </w:tc>
        <w:tc>
          <w:tcPr>
            <w:tcW w:w="60" w:type="dxa"/>
            <w:tcBorders/>
            <w:vAlign w:val="bottom"/>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Development costs</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5" w:type="dxa"/>
            <w:tcBorders/>
            <w:shd w:fill="CCEEFF" w:val="clear"/>
            <w:vAlign w:val="bottom"/>
          </w:tcPr>
          <w:p>
            <w:pPr>
              <w:pStyle w:val="TableContents"/>
              <w:bidi w:val="0"/>
              <w:spacing w:before="0" w:after="283"/>
              <w:jc w:val="left"/>
            </w:pPr>
            <w:r>
              <w:t> </w:t>
            </w:r>
          </w:p>
        </w:tc>
        <w:tc>
          <w:tcPr>
            <w:tcW w:w="94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8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 </w:t>
            </w:r>
          </w:p>
        </w:tc>
        <w:tc>
          <w:tcPr>
            <w:tcW w:w="1298"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17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 </w:t>
            </w:r>
          </w:p>
        </w:tc>
        <w:tc>
          <w:tcPr>
            <w:tcW w:w="1119" w:type="dxa"/>
            <w:tcBorders/>
            <w:shd w:fill="CCEEFF" w:val="clear"/>
            <w:vAlign w:val="bottom"/>
          </w:tcPr>
          <w:p>
            <w:pPr>
              <w:pStyle w:val="TableContents"/>
              <w:bidi w:val="0"/>
              <w:spacing w:before="0" w:after="283"/>
              <w:jc w:val="right"/>
            </w:pPr>
            <w:r>
              <w:t>996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996</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52,242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58,152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604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5" w:type="dxa"/>
            <w:tcBorders/>
            <w:vAlign w:val="bottom"/>
          </w:tcPr>
          <w:p>
            <w:pPr>
              <w:pStyle w:val="TableContents"/>
              <w:bidi w:val="0"/>
              <w:spacing w:before="0" w:after="283"/>
              <w:jc w:val="left"/>
            </w:pPr>
            <w:r>
              <w:t> </w:t>
            </w:r>
          </w:p>
        </w:tc>
        <w:tc>
          <w:tcPr>
            <w:tcW w:w="940" w:type="dxa"/>
            <w:tcBorders/>
            <w:vAlign w:val="bottom"/>
          </w:tcPr>
          <w:p>
            <w:pPr>
              <w:pStyle w:val="TableContents"/>
              <w:bidi w:val="0"/>
              <w:spacing w:before="0" w:after="283"/>
              <w:jc w:val="right"/>
            </w:pPr>
            <w:r>
              <w:t>1,448</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80" w:type="dxa"/>
            <w:tcBorders/>
            <w:vAlign w:val="bottom"/>
          </w:tcPr>
          <w:p>
            <w:pPr>
              <w:pStyle w:val="TableContents"/>
              <w:bidi w:val="0"/>
              <w:spacing w:before="0" w:after="283"/>
              <w:jc w:val="right"/>
            </w:pPr>
            <w:r>
              <w:t>4,977</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13,291</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2,318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119" w:type="dxa"/>
            <w:tcBorders/>
            <w:vAlign w:val="bottom"/>
          </w:tcPr>
          <w:p>
            <w:pPr>
              <w:pStyle w:val="TableContents"/>
              <w:bidi w:val="0"/>
              <w:spacing w:before="0" w:after="283"/>
              <w:jc w:val="right"/>
            </w:pPr>
            <w:r>
              <w:t>5,275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138,307</w:t>
            </w:r>
          </w:p>
        </w:tc>
        <w:tc>
          <w:tcPr>
            <w:tcW w:w="60" w:type="dxa"/>
            <w:tcBorders/>
            <w:vAlign w:val="bottom"/>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Share-based compensation</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1,601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416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115</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5" w:type="dxa"/>
            <w:tcBorders/>
            <w:shd w:fill="CCEEFF" w:val="clear"/>
            <w:vAlign w:val="bottom"/>
          </w:tcPr>
          <w:p>
            <w:pPr>
              <w:pStyle w:val="TableContents"/>
              <w:bidi w:val="0"/>
              <w:spacing w:before="0" w:after="283"/>
              <w:jc w:val="left"/>
            </w:pPr>
            <w:r>
              <w:t> </w:t>
            </w:r>
          </w:p>
        </w:tc>
        <w:tc>
          <w:tcPr>
            <w:tcW w:w="940" w:type="dxa"/>
            <w:tcBorders/>
            <w:shd w:fill="CCEEFF" w:val="clear"/>
            <w:vAlign w:val="bottom"/>
          </w:tcPr>
          <w:p>
            <w:pPr>
              <w:pStyle w:val="TableContents"/>
              <w:bidi w:val="0"/>
              <w:spacing w:before="0" w:after="283"/>
              <w:jc w:val="right"/>
            </w:pPr>
            <w:r>
              <w:t>47</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80" w:type="dxa"/>
            <w:tcBorders/>
            <w:shd w:fill="CCEEFF" w:val="clear"/>
            <w:vAlign w:val="bottom"/>
          </w:tcPr>
          <w:p>
            <w:pPr>
              <w:pStyle w:val="TableContents"/>
              <w:bidi w:val="0"/>
              <w:spacing w:before="0" w:after="283"/>
              <w:jc w:val="right"/>
            </w:pPr>
            <w:r>
              <w:t>271</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 </w:t>
            </w:r>
          </w:p>
        </w:tc>
        <w:tc>
          <w:tcPr>
            <w:tcW w:w="1298" w:type="dxa"/>
            <w:tcBorders/>
            <w:shd w:fill="CCEEFF" w:val="clear"/>
            <w:vAlign w:val="bottom"/>
          </w:tcPr>
          <w:p>
            <w:pPr>
              <w:pStyle w:val="TableContents"/>
              <w:bidi w:val="0"/>
              <w:spacing w:before="0" w:after="283"/>
              <w:jc w:val="right"/>
            </w:pPr>
            <w:r>
              <w:t>107</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170" w:type="dxa"/>
            <w:tcBorders/>
            <w:shd w:fill="CCEEFF" w:val="clear"/>
            <w:vAlign w:val="bottom"/>
          </w:tcPr>
          <w:p>
            <w:pPr>
              <w:pStyle w:val="TableContents"/>
              <w:bidi w:val="0"/>
              <w:spacing w:before="0" w:after="283"/>
              <w:jc w:val="right"/>
            </w:pPr>
            <w:r>
              <w:t>25</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 </w:t>
            </w:r>
          </w:p>
        </w:tc>
        <w:tc>
          <w:tcPr>
            <w:tcW w:w="1119" w:type="dxa"/>
            <w:tcBorders/>
            <w:shd w:fill="CCEEFF" w:val="clear"/>
            <w:vAlign w:val="bottom"/>
          </w:tcPr>
          <w:p>
            <w:pPr>
              <w:pStyle w:val="TableContents"/>
              <w:bidi w:val="0"/>
              <w:spacing w:before="0" w:after="283"/>
              <w:jc w:val="right"/>
            </w:pPr>
            <w:r>
              <w:t>5,142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7,724</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Property charges and other</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(1,176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158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849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5" w:type="dxa"/>
            <w:tcBorders/>
            <w:vAlign w:val="bottom"/>
          </w:tcPr>
          <w:p>
            <w:pPr>
              <w:pStyle w:val="TableContents"/>
              <w:bidi w:val="0"/>
              <w:spacing w:before="0" w:after="283"/>
              <w:jc w:val="left"/>
            </w:pPr>
            <w:r>
              <w:t> </w:t>
            </w:r>
          </w:p>
        </w:tc>
        <w:tc>
          <w:tcPr>
            <w:tcW w:w="940" w:type="dxa"/>
            <w:tcBorders/>
            <w:vAlign w:val="bottom"/>
          </w:tcPr>
          <w:p>
            <w:pPr>
              <w:pStyle w:val="TableContents"/>
              <w:bidi w:val="0"/>
              <w:spacing w:before="0" w:after="283"/>
              <w:jc w:val="right"/>
            </w:pPr>
            <w:r>
              <w:t>26</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80" w:type="dxa"/>
            <w:tcBorders/>
            <w:vAlign w:val="bottom"/>
          </w:tcPr>
          <w:p>
            <w:pPr>
              <w:pStyle w:val="TableContents"/>
              <w:bidi w:val="0"/>
              <w:spacing w:before="0" w:after="283"/>
              <w:jc w:val="right"/>
            </w:pPr>
            <w:r>
              <w:t>138</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239</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11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234</w:t>
            </w:r>
          </w:p>
        </w:tc>
        <w:tc>
          <w:tcPr>
            <w:tcW w:w="60" w:type="dxa"/>
            <w:tcBorders/>
            <w:vAlign w:val="bottom"/>
          </w:tcPr>
          <w:p>
            <w:pPr>
              <w:pStyle w:val="TableContents"/>
              <w:bidi w:val="0"/>
              <w:spacing w:before="0" w:after="283"/>
              <w:jc w:val="left"/>
            </w:pPr>
            <w:r>
              <w:t> </w:t>
            </w:r>
          </w:p>
        </w:tc>
      </w:tr>
      <w:t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5" w:type="dxa"/>
            <w:tcBorders/>
            <w:vAlign w:val="bottom"/>
          </w:tcPr>
          <w:p>
            <w:pPr>
              <w:pStyle w:val="TableContents"/>
              <w:pBdr>
                <w:top w:val="single" w:sz="2" w:space="1" w:color="000000"/>
              </w:pBdr>
              <w:bidi w:val="0"/>
              <w:spacing w:before="0" w:after="0"/>
              <w:jc w:val="left"/>
            </w:pPr>
            <w:r>
              <w:t> </w:t>
            </w:r>
          </w:p>
        </w:tc>
        <w:tc>
          <w:tcPr>
            <w:tcW w:w="94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pBdr>
                <w:top w:val="single" w:sz="2" w:space="1" w:color="000000"/>
              </w:pBdr>
              <w:bidi w:val="0"/>
              <w:spacing w:before="0" w:after="0"/>
              <w:jc w:val="left"/>
            </w:pPr>
            <w:r>
              <w:t> </w:t>
            </w:r>
          </w:p>
        </w:tc>
        <w:tc>
          <w:tcPr>
            <w:tcW w:w="129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17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pBdr>
                <w:top w:val="single" w:sz="2" w:space="1" w:color="000000"/>
              </w:pBdr>
              <w:bidi w:val="0"/>
              <w:spacing w:before="0" w:after="0"/>
              <w:jc w:val="left"/>
            </w:pPr>
            <w:r>
              <w:t> </w:t>
            </w:r>
          </w:p>
        </w:tc>
        <w:tc>
          <w:tcPr>
            <w:tcW w:w="11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Adjusted EBITDA</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206,880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104,671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(707</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5" w:type="dxa"/>
            <w:tcBorders/>
            <w:shd w:fill="CCEEFF" w:val="clear"/>
            <w:vAlign w:val="bottom"/>
          </w:tcPr>
          <w:p>
            <w:pPr>
              <w:pStyle w:val="TableContents"/>
              <w:bidi w:val="0"/>
              <w:spacing w:before="0" w:after="283"/>
              <w:jc w:val="left"/>
            </w:pPr>
            <w:r>
              <w:t> </w:t>
            </w:r>
          </w:p>
        </w:tc>
        <w:tc>
          <w:tcPr>
            <w:tcW w:w="940" w:type="dxa"/>
            <w:tcBorders/>
            <w:shd w:fill="CCEEFF" w:val="clear"/>
            <w:vAlign w:val="bottom"/>
          </w:tcPr>
          <w:p>
            <w:pPr>
              <w:pStyle w:val="TableContents"/>
              <w:bidi w:val="0"/>
              <w:spacing w:before="0" w:after="283"/>
              <w:jc w:val="right"/>
            </w:pPr>
            <w:r>
              <w:t>5,773</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80" w:type="dxa"/>
            <w:tcBorders/>
            <w:shd w:fill="CCEEFF" w:val="clear"/>
            <w:vAlign w:val="bottom"/>
          </w:tcPr>
          <w:p>
            <w:pPr>
              <w:pStyle w:val="TableContents"/>
              <w:bidi w:val="0"/>
              <w:spacing w:before="0" w:after="283"/>
              <w:jc w:val="right"/>
            </w:pPr>
            <w:r>
              <w:t>41,261</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 </w:t>
            </w:r>
          </w:p>
        </w:tc>
        <w:tc>
          <w:tcPr>
            <w:tcW w:w="1298" w:type="dxa"/>
            <w:tcBorders/>
            <w:shd w:fill="CCEEFF" w:val="clear"/>
            <w:vAlign w:val="bottom"/>
          </w:tcPr>
          <w:p>
            <w:pPr>
              <w:pStyle w:val="TableContents"/>
              <w:bidi w:val="0"/>
              <w:spacing w:before="0" w:after="283"/>
              <w:jc w:val="right"/>
            </w:pPr>
            <w:r>
              <w:t>23,174</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170" w:type="dxa"/>
            <w:tcBorders/>
            <w:shd w:fill="CCEEFF" w:val="clear"/>
            <w:vAlign w:val="bottom"/>
          </w:tcPr>
          <w:p>
            <w:pPr>
              <w:pStyle w:val="TableContents"/>
              <w:bidi w:val="0"/>
              <w:spacing w:before="0" w:after="283"/>
              <w:jc w:val="right"/>
            </w:pPr>
            <w:r>
              <w:t>(629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 </w:t>
            </w:r>
          </w:p>
        </w:tc>
        <w:tc>
          <w:tcPr>
            <w:tcW w:w="1119" w:type="dxa"/>
            <w:tcBorders/>
            <w:shd w:fill="CCEEFF" w:val="clear"/>
            <w:vAlign w:val="bottom"/>
          </w:tcPr>
          <w:p>
            <w:pPr>
              <w:pStyle w:val="TableContents"/>
              <w:bidi w:val="0"/>
              <w:spacing w:before="0" w:after="283"/>
              <w:jc w:val="right"/>
            </w:pPr>
            <w:r>
              <w:t>(28,460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351,963</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Corporate and Other expenses (4)</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5" w:type="dxa"/>
            <w:tcBorders/>
            <w:vAlign w:val="bottom"/>
          </w:tcPr>
          <w:p>
            <w:pPr>
              <w:pStyle w:val="TableContents"/>
              <w:bidi w:val="0"/>
              <w:spacing w:before="0" w:after="283"/>
              <w:jc w:val="left"/>
            </w:pPr>
            <w:r>
              <w:t> </w:t>
            </w:r>
          </w:p>
        </w:tc>
        <w:tc>
          <w:tcPr>
            <w:tcW w:w="94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bidi w:val="0"/>
              <w:spacing w:before="0" w:after="283"/>
              <w:jc w:val="left"/>
            </w:pPr>
            <w:r>
              <w:t> </w:t>
            </w:r>
          </w:p>
        </w:tc>
        <w:tc>
          <w:tcPr>
            <w:tcW w:w="1119" w:type="dxa"/>
            <w:tcBorders/>
            <w:vAlign w:val="bottom"/>
          </w:tcPr>
          <w:p>
            <w:pPr>
              <w:pStyle w:val="TableContents"/>
              <w:bidi w:val="0"/>
              <w:spacing w:before="0" w:after="283"/>
              <w:jc w:val="right"/>
            </w:pPr>
            <w:r>
              <w:t>28,460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28,460</w:t>
            </w:r>
          </w:p>
        </w:tc>
        <w:tc>
          <w:tcPr>
            <w:tcW w:w="60" w:type="dxa"/>
            <w:tcBorders/>
            <w:vAlign w:val="bottom"/>
          </w:tcPr>
          <w:p>
            <w:pPr>
              <w:pStyle w:val="TableContents"/>
              <w:bidi w:val="0"/>
              <w:spacing w:before="0" w:after="283"/>
              <w:jc w:val="left"/>
            </w:pPr>
            <w:r>
              <w:t> </w:t>
            </w:r>
          </w:p>
        </w:tc>
      </w:tr>
      <w:t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5" w:type="dxa"/>
            <w:tcBorders/>
            <w:vAlign w:val="bottom"/>
          </w:tcPr>
          <w:p>
            <w:pPr>
              <w:pStyle w:val="TableContents"/>
              <w:pBdr>
                <w:top w:val="single" w:sz="2" w:space="1" w:color="000000"/>
              </w:pBdr>
              <w:bidi w:val="0"/>
              <w:spacing w:before="0" w:after="0"/>
              <w:jc w:val="left"/>
            </w:pPr>
            <w:r>
              <w:t> </w:t>
            </w:r>
          </w:p>
        </w:tc>
        <w:tc>
          <w:tcPr>
            <w:tcW w:w="94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pBdr>
                <w:top w:val="single" w:sz="2" w:space="1" w:color="000000"/>
              </w:pBdr>
              <w:bidi w:val="0"/>
              <w:spacing w:before="0" w:after="0"/>
              <w:jc w:val="left"/>
            </w:pPr>
            <w:r>
              <w:t> </w:t>
            </w:r>
          </w:p>
        </w:tc>
        <w:tc>
          <w:tcPr>
            <w:tcW w:w="129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17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pBdr>
                <w:top w:val="single" w:sz="2" w:space="1" w:color="000000"/>
              </w:pBdr>
              <w:bidi w:val="0"/>
              <w:spacing w:before="0" w:after="0"/>
              <w:jc w:val="left"/>
            </w:pPr>
            <w:r>
              <w:t> </w:t>
            </w:r>
          </w:p>
        </w:tc>
        <w:tc>
          <w:tcPr>
            <w:tcW w:w="111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Adjusted Property EBITDA</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206,880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104,671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35" w:type="dxa"/>
            <w:tcBorders/>
            <w:shd w:fill="CCEEFF" w:val="clear"/>
            <w:vAlign w:val="bottom"/>
          </w:tcPr>
          <w:p>
            <w:pPr>
              <w:pStyle w:val="TableContents"/>
              <w:bidi w:val="0"/>
              <w:spacing w:before="0" w:after="283"/>
              <w:jc w:val="right"/>
            </w:pPr>
            <w:r>
              <w:t>(707</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5" w:type="dxa"/>
            <w:tcBorders/>
            <w:shd w:fill="CCEEFF" w:val="clear"/>
            <w:vAlign w:val="bottom"/>
          </w:tcPr>
          <w:p>
            <w:pPr>
              <w:pStyle w:val="TableContents"/>
              <w:bidi w:val="0"/>
              <w:spacing w:before="0" w:after="283"/>
              <w:jc w:val="left"/>
            </w:pPr>
            <w:r>
              <w:t>$</w:t>
            </w:r>
          </w:p>
        </w:tc>
        <w:tc>
          <w:tcPr>
            <w:tcW w:w="940" w:type="dxa"/>
            <w:tcBorders/>
            <w:shd w:fill="CCEEFF" w:val="clear"/>
            <w:vAlign w:val="bottom"/>
          </w:tcPr>
          <w:p>
            <w:pPr>
              <w:pStyle w:val="TableContents"/>
              <w:bidi w:val="0"/>
              <w:spacing w:before="0" w:after="283"/>
              <w:jc w:val="right"/>
            </w:pPr>
            <w:r>
              <w:t>5,773</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80" w:type="dxa"/>
            <w:tcBorders/>
            <w:shd w:fill="CCEEFF" w:val="clear"/>
            <w:vAlign w:val="bottom"/>
          </w:tcPr>
          <w:p>
            <w:pPr>
              <w:pStyle w:val="TableContents"/>
              <w:bidi w:val="0"/>
              <w:spacing w:before="0" w:after="283"/>
              <w:jc w:val="right"/>
            </w:pPr>
            <w:r>
              <w:t>41,261</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w:t>
            </w:r>
          </w:p>
        </w:tc>
        <w:tc>
          <w:tcPr>
            <w:tcW w:w="1298" w:type="dxa"/>
            <w:tcBorders/>
            <w:shd w:fill="CCEEFF" w:val="clear"/>
            <w:vAlign w:val="bottom"/>
          </w:tcPr>
          <w:p>
            <w:pPr>
              <w:pStyle w:val="TableContents"/>
              <w:bidi w:val="0"/>
              <w:spacing w:before="0" w:after="283"/>
              <w:jc w:val="right"/>
            </w:pPr>
            <w:r>
              <w:t>23,174</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w:t>
            </w:r>
          </w:p>
        </w:tc>
        <w:tc>
          <w:tcPr>
            <w:tcW w:w="1170" w:type="dxa"/>
            <w:tcBorders/>
            <w:shd w:fill="CCEEFF" w:val="clear"/>
            <w:vAlign w:val="bottom"/>
          </w:tcPr>
          <w:p>
            <w:pPr>
              <w:pStyle w:val="TableContents"/>
              <w:bidi w:val="0"/>
              <w:spacing w:before="0" w:after="283"/>
              <w:jc w:val="right"/>
            </w:pPr>
            <w:r>
              <w:t>(629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bidi w:val="0"/>
              <w:spacing w:before="0" w:after="283"/>
              <w:jc w:val="left"/>
            </w:pPr>
            <w:r>
              <w:t>$</w:t>
            </w:r>
          </w:p>
        </w:tc>
        <w:tc>
          <w:tcPr>
            <w:tcW w:w="111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380,423</w:t>
            </w:r>
          </w:p>
        </w:tc>
        <w:tc>
          <w:tcPr>
            <w:tcW w:w="60" w:type="dxa"/>
            <w:tcBorders/>
            <w:shd w:fill="CCEEFF" w:val="clear"/>
            <w:vAlign w:val="bottom"/>
          </w:tcPr>
          <w:p>
            <w:pPr>
              <w:pStyle w:val="TableContents"/>
              <w:bidi w:val="0"/>
              <w:spacing w:before="0" w:after="283"/>
              <w:jc w:val="left"/>
            </w:pPr>
            <w:r>
              <w:t> </w:t>
            </w:r>
          </w:p>
        </w:tc>
      </w:tr>
      <w:t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63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5" w:type="dxa"/>
            <w:tcBorders/>
            <w:vAlign w:val="bottom"/>
          </w:tcPr>
          <w:p>
            <w:pPr>
              <w:pStyle w:val="TableContents"/>
              <w:pBdr>
                <w:top w:val="double" w:sz="6" w:space="1" w:color="000000"/>
              </w:pBdr>
              <w:bidi w:val="0"/>
              <w:spacing w:before="0" w:after="0"/>
              <w:jc w:val="left"/>
            </w:pPr>
            <w:r>
              <w:t> </w:t>
            </w:r>
          </w:p>
        </w:tc>
        <w:tc>
          <w:tcPr>
            <w:tcW w:w="94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68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pBdr>
                <w:top w:val="double" w:sz="6" w:space="1" w:color="000000"/>
              </w:pBdr>
              <w:bidi w:val="0"/>
              <w:spacing w:before="0" w:after="0"/>
              <w:jc w:val="left"/>
            </w:pPr>
            <w:r>
              <w:t> </w:t>
            </w:r>
          </w:p>
        </w:tc>
        <w:tc>
          <w:tcPr>
            <w:tcW w:w="1298"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pBdr>
                <w:top w:val="double" w:sz="6" w:space="1" w:color="000000"/>
              </w:pBdr>
              <w:bidi w:val="0"/>
              <w:spacing w:before="0" w:after="0"/>
              <w:jc w:val="left"/>
            </w:pPr>
            <w:r>
              <w:t> </w:t>
            </w:r>
          </w:p>
        </w:tc>
        <w:tc>
          <w:tcPr>
            <w:tcW w:w="117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06" w:type="dxa"/>
            <w:tcBorders/>
            <w:vAlign w:val="bottom"/>
          </w:tcPr>
          <w:p>
            <w:pPr>
              <w:pStyle w:val="TableContents"/>
              <w:pBdr>
                <w:top w:val="double" w:sz="6" w:space="1" w:color="000000"/>
              </w:pBdr>
              <w:bidi w:val="0"/>
              <w:spacing w:before="0" w:after="0"/>
              <w:jc w:val="left"/>
            </w:pPr>
            <w:r>
              <w:t> </w:t>
            </w:r>
          </w:p>
        </w:tc>
        <w:tc>
          <w:tcPr>
            <w:tcW w:w="111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(3)</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Mocha and Other segment included the operation of the Grand Dragon Casino before its closure and was changed to Mocha segment effective on September 23,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(4)</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Effective from August 1, 2025, the Company’s casino operations at City of Dreams Sri Lanka, which commenced business on August 1, 2025, and provision of management services to operate certain floors of the hotel tower at City of Dreams Sri Lanka which opened to the public on July 15, 2025 were previously reported under the Corporate and Other category, has been included in the Other Operations segment for the three months and nine months ended September 30, 2025. City of Dreams Sri Lanka is an integrated resort in Colombo, Sri Lanka, developed by a subsidiary of John Keells Holdings PLC, an independent third party. </w:t>
            </w:r>
          </w:p>
        </w:tc>
      </w:tr>
    </w:tbl>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(5)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Integrated resort and casino rent represents land rent and variable lease costs to Belle Corporation and casino rent to a subsidiary of John Keells Holdings PLC. </w:t>
            </w:r>
          </w:p>
        </w:tc>
      </w:tr>
    </w:tbl>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(6)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Certain amounts of pre-opening costs are grouped and reported under the line item Integrated resort and casino rent.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p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Operating Income to Adjusted EBITDA and Adjusted Property EBITDA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pPr>
      <w:r>
        <w:t> </w:t>
      </w:r>
    </w:p>
    <w:tbl>
      <w:tblPr>
        <w:tblW w:w="12825" w:type="dxa"/>
        <w:jc w:val="center"/>
        <w:tblInd w:w="0" w:type="dxa"/>
        <w:tblLayout w:type="fixed"/>
        <w:tblCellMar>
          <w:top w:w="0" w:type="dxa"/>
          <w:left w:w="0" w:type="dxa"/>
          <w:bottom w:w="0" w:type="dxa"/>
          <w:right w:w="0" w:type="dxa"/>
        </w:tblCellMar>
      </w:tblPr>
      <w:tblGrid>
        <w:gridCol w:w="995"/>
        <w:gridCol w:w="60"/>
        <w:gridCol w:w="140"/>
        <w:gridCol w:w="800"/>
        <w:gridCol w:w="155"/>
        <w:gridCol w:w="60"/>
        <w:gridCol w:w="140"/>
        <w:gridCol w:w="800"/>
        <w:gridCol w:w="155"/>
        <w:gridCol w:w="60"/>
        <w:gridCol w:w="140"/>
        <w:gridCol w:w="635"/>
        <w:gridCol w:w="155"/>
        <w:gridCol w:w="60"/>
        <w:gridCol w:w="183"/>
        <w:gridCol w:w="992"/>
        <w:gridCol w:w="155"/>
        <w:gridCol w:w="60"/>
        <w:gridCol w:w="140"/>
        <w:gridCol w:w="800"/>
        <w:gridCol w:w="60"/>
        <w:gridCol w:w="60"/>
        <w:gridCol w:w="267"/>
        <w:gridCol w:w="1298"/>
        <w:gridCol w:w="60"/>
        <w:gridCol w:w="60"/>
        <w:gridCol w:w="230"/>
        <w:gridCol w:w="1170"/>
        <w:gridCol w:w="155"/>
        <w:gridCol w:w="60"/>
        <w:gridCol w:w="181"/>
        <w:gridCol w:w="1144"/>
        <w:gridCol w:w="155"/>
        <w:gridCol w:w="60"/>
        <w:gridCol w:w="140"/>
        <w:gridCol w:w="980"/>
        <w:gridCol w:w="60"/>
      </w:tblGrid>
      <w:t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c>
          <w:tcPr>
            <w:tcW w:w="99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710"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 2026</w:t>
            </w:r>
          </w:p>
        </w:tc>
        <w:tc>
          <w:tcPr>
            <w:tcW w:w="60" w:type="dxa"/>
            <w:tcBorders/>
            <w:vAlign w:val="bottom"/>
          </w:tcPr>
          <w:p>
            <w:pPr>
              <w:pStyle w:val="TableContents"/>
              <w:bidi w:val="0"/>
              <w:spacing w:before="0" w:after="283"/>
              <w:jc w:val="left"/>
            </w:pPr>
            <w:r>
              <w:t> </w:t>
            </w:r>
          </w:p>
        </w:tc>
      </w:tr>
      <w:tr>
        <w:tc>
          <w:tcPr>
            <w:tcW w:w="99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Studio</w:t>
              <w:br/>
              <w:t>City</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Altira</w:t>
              <w:br/>
              <w:t>Macau</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Mocha (3)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br/>
              <w:t>Manila</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 Dreams</w:t>
              <w:br/>
              <w:t>Mediterranean</w:t>
              <w:br/>
              <w:t>and Other</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Operations (4)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w:t>
              <w:br/>
              <w:t>and Other</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income (loss)</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325,788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128,938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35" w:type="dxa"/>
            <w:tcBorders/>
            <w:shd w:fill="CCEEFF" w:val="clear"/>
            <w:vAlign w:val="bottom"/>
          </w:tcPr>
          <w:p>
            <w:pPr>
              <w:pStyle w:val="TableContents"/>
              <w:bidi w:val="0"/>
              <w:spacing w:before="0" w:after="283"/>
              <w:jc w:val="right"/>
            </w:pPr>
            <w:r>
              <w:t>(623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3" w:type="dxa"/>
            <w:tcBorders/>
            <w:shd w:fill="CCEEFF" w:val="clear"/>
            <w:vAlign w:val="bottom"/>
          </w:tcPr>
          <w:p>
            <w:pPr>
              <w:pStyle w:val="TableContents"/>
              <w:bidi w:val="0"/>
              <w:spacing w:before="0" w:after="283"/>
              <w:jc w:val="left"/>
            </w:pPr>
            <w:r>
              <w:t>$</w:t>
            </w:r>
          </w:p>
        </w:tc>
        <w:tc>
          <w:tcPr>
            <w:tcW w:w="992" w:type="dxa"/>
            <w:tcBorders/>
            <w:shd w:fill="CCEEFF" w:val="clear"/>
            <w:vAlign w:val="bottom"/>
          </w:tcPr>
          <w:p>
            <w:pPr>
              <w:pStyle w:val="TableContents"/>
              <w:bidi w:val="0"/>
              <w:spacing w:before="0" w:after="283"/>
              <w:jc w:val="right"/>
            </w:pPr>
            <w:r>
              <w:t>8,809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56,755</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w:t>
            </w:r>
          </w:p>
        </w:tc>
        <w:tc>
          <w:tcPr>
            <w:tcW w:w="1298" w:type="dxa"/>
            <w:tcBorders/>
            <w:shd w:fill="CCEEFF" w:val="clear"/>
            <w:vAlign w:val="bottom"/>
          </w:tcPr>
          <w:p>
            <w:pPr>
              <w:pStyle w:val="TableContents"/>
              <w:bidi w:val="0"/>
              <w:spacing w:before="0" w:after="283"/>
              <w:jc w:val="right"/>
            </w:pPr>
            <w:r>
              <w:t>13,983</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w:t>
            </w:r>
          </w:p>
        </w:tc>
        <w:tc>
          <w:tcPr>
            <w:tcW w:w="1170" w:type="dxa"/>
            <w:tcBorders/>
            <w:shd w:fill="CCEEFF" w:val="clear"/>
            <w:vAlign w:val="bottom"/>
          </w:tcPr>
          <w:p>
            <w:pPr>
              <w:pStyle w:val="TableContents"/>
              <w:bidi w:val="0"/>
              <w:spacing w:before="0" w:after="283"/>
              <w:jc w:val="right"/>
            </w:pPr>
            <w:r>
              <w:t>(7,033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w:t>
            </w:r>
          </w:p>
        </w:tc>
        <w:tc>
          <w:tcPr>
            <w:tcW w:w="1144" w:type="dxa"/>
            <w:tcBorders/>
            <w:shd w:fill="CCEEFF" w:val="clear"/>
            <w:vAlign w:val="bottom"/>
          </w:tcPr>
          <w:p>
            <w:pPr>
              <w:pStyle w:val="TableContents"/>
              <w:bidi w:val="0"/>
              <w:spacing w:before="0" w:after="283"/>
              <w:jc w:val="right"/>
            </w:pPr>
            <w:r>
              <w:t>(119,644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0" w:type="dxa"/>
            <w:tcBorders/>
            <w:shd w:fill="CCEEFF" w:val="clear"/>
            <w:vAlign w:val="bottom"/>
          </w:tcPr>
          <w:p>
            <w:pPr>
              <w:pStyle w:val="TableContents"/>
              <w:bidi w:val="0"/>
              <w:spacing w:before="0" w:after="283"/>
              <w:jc w:val="right"/>
            </w:pPr>
            <w:r>
              <w:t>406,973</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Payments to the Philippine Parties</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3" w:type="dxa"/>
            <w:tcBorders/>
            <w:vAlign w:val="bottom"/>
          </w:tcPr>
          <w:p>
            <w:pPr>
              <w:pStyle w:val="TableContents"/>
              <w:bidi w:val="0"/>
              <w:spacing w:before="0" w:after="283"/>
              <w:jc w:val="left"/>
            </w:pPr>
            <w:r>
              <w:t> </w:t>
            </w:r>
          </w:p>
        </w:tc>
        <w:tc>
          <w:tcPr>
            <w:tcW w:w="992"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24,292</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144"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24,292</w:t>
            </w:r>
          </w:p>
        </w:tc>
        <w:tc>
          <w:tcPr>
            <w:tcW w:w="60" w:type="dxa"/>
            <w:tcBorders/>
            <w:vAlign w:val="bottom"/>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Integrated resort and casino rent (5)</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3" w:type="dxa"/>
            <w:tcBorders/>
            <w:shd w:fill="CCEEFF" w:val="clear"/>
            <w:vAlign w:val="bottom"/>
          </w:tcPr>
          <w:p>
            <w:pPr>
              <w:pStyle w:val="TableContents"/>
              <w:bidi w:val="0"/>
              <w:spacing w:before="0" w:after="283"/>
              <w:jc w:val="left"/>
            </w:pPr>
            <w:r>
              <w:t> </w:t>
            </w:r>
          </w:p>
        </w:tc>
        <w:tc>
          <w:tcPr>
            <w:tcW w:w="992"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4,477</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 </w:t>
            </w:r>
          </w:p>
        </w:tc>
        <w:tc>
          <w:tcPr>
            <w:tcW w:w="1298"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170" w:type="dxa"/>
            <w:tcBorders/>
            <w:shd w:fill="CCEEFF" w:val="clear"/>
            <w:vAlign w:val="bottom"/>
          </w:tcPr>
          <w:p>
            <w:pPr>
              <w:pStyle w:val="TableContents"/>
              <w:bidi w:val="0"/>
              <w:spacing w:before="0" w:after="283"/>
              <w:jc w:val="right"/>
            </w:pPr>
            <w:r>
              <w:t>5,394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144"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9,871</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Pre-opening costs</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3,070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120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3" w:type="dxa"/>
            <w:tcBorders/>
            <w:vAlign w:val="bottom"/>
          </w:tcPr>
          <w:p>
            <w:pPr>
              <w:pStyle w:val="TableContents"/>
              <w:bidi w:val="0"/>
              <w:spacing w:before="0" w:after="283"/>
              <w:jc w:val="left"/>
            </w:pPr>
            <w:r>
              <w:t> </w:t>
            </w:r>
          </w:p>
        </w:tc>
        <w:tc>
          <w:tcPr>
            <w:tcW w:w="992"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33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144" w:type="dxa"/>
            <w:tcBorders/>
            <w:vAlign w:val="bottom"/>
          </w:tcPr>
          <w:p>
            <w:pPr>
              <w:pStyle w:val="TableContents"/>
              <w:bidi w:val="0"/>
              <w:spacing w:before="0" w:after="283"/>
              <w:jc w:val="right"/>
            </w:pPr>
            <w:r>
              <w:t>46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3,269</w:t>
            </w:r>
          </w:p>
        </w:tc>
        <w:tc>
          <w:tcPr>
            <w:tcW w:w="60" w:type="dxa"/>
            <w:tcBorders/>
            <w:vAlign w:val="bottom"/>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Development costs</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3" w:type="dxa"/>
            <w:tcBorders/>
            <w:shd w:fill="CCEEFF" w:val="clear"/>
            <w:vAlign w:val="bottom"/>
          </w:tcPr>
          <w:p>
            <w:pPr>
              <w:pStyle w:val="TableContents"/>
              <w:bidi w:val="0"/>
              <w:spacing w:before="0" w:after="283"/>
              <w:jc w:val="left"/>
            </w:pPr>
            <w:r>
              <w:t> </w:t>
            </w:r>
          </w:p>
        </w:tc>
        <w:tc>
          <w:tcPr>
            <w:tcW w:w="992"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 </w:t>
            </w:r>
          </w:p>
        </w:tc>
        <w:tc>
          <w:tcPr>
            <w:tcW w:w="1298"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17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144" w:type="dxa"/>
            <w:tcBorders/>
            <w:shd w:fill="CCEEFF" w:val="clear"/>
            <w:vAlign w:val="bottom"/>
          </w:tcPr>
          <w:p>
            <w:pPr>
              <w:pStyle w:val="TableContents"/>
              <w:bidi w:val="0"/>
              <w:spacing w:before="0" w:after="283"/>
              <w:jc w:val="right"/>
            </w:pPr>
            <w:r>
              <w:t>4,134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4,134</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161,409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167,879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2,628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3" w:type="dxa"/>
            <w:tcBorders/>
            <w:vAlign w:val="bottom"/>
          </w:tcPr>
          <w:p>
            <w:pPr>
              <w:pStyle w:val="TableContents"/>
              <w:bidi w:val="0"/>
              <w:spacing w:before="0" w:after="283"/>
              <w:jc w:val="left"/>
            </w:pPr>
            <w:r>
              <w:t> </w:t>
            </w:r>
          </w:p>
        </w:tc>
        <w:tc>
          <w:tcPr>
            <w:tcW w:w="992" w:type="dxa"/>
            <w:tcBorders/>
            <w:vAlign w:val="bottom"/>
          </w:tcPr>
          <w:p>
            <w:pPr>
              <w:pStyle w:val="TableContents"/>
              <w:bidi w:val="0"/>
              <w:spacing w:before="0" w:after="283"/>
              <w:jc w:val="right"/>
            </w:pPr>
            <w:r>
              <w:t>3,082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13,850</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40,226</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9,327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144" w:type="dxa"/>
            <w:tcBorders/>
            <w:vAlign w:val="bottom"/>
          </w:tcPr>
          <w:p>
            <w:pPr>
              <w:pStyle w:val="TableContents"/>
              <w:bidi w:val="0"/>
              <w:spacing w:before="0" w:after="283"/>
              <w:jc w:val="right"/>
            </w:pPr>
            <w:r>
              <w:t>16,642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415,043</w:t>
            </w:r>
          </w:p>
        </w:tc>
        <w:tc>
          <w:tcPr>
            <w:tcW w:w="60" w:type="dxa"/>
            <w:tcBorders/>
            <w:vAlign w:val="bottom"/>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Share-based compensation</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5,071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1,411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360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3" w:type="dxa"/>
            <w:tcBorders/>
            <w:shd w:fill="CCEEFF" w:val="clear"/>
            <w:vAlign w:val="bottom"/>
          </w:tcPr>
          <w:p>
            <w:pPr>
              <w:pStyle w:val="TableContents"/>
              <w:bidi w:val="0"/>
              <w:spacing w:before="0" w:after="283"/>
              <w:jc w:val="left"/>
            </w:pPr>
            <w:r>
              <w:t> </w:t>
            </w:r>
          </w:p>
        </w:tc>
        <w:tc>
          <w:tcPr>
            <w:tcW w:w="992" w:type="dxa"/>
            <w:tcBorders/>
            <w:shd w:fill="CCEEFF" w:val="clear"/>
            <w:vAlign w:val="bottom"/>
          </w:tcPr>
          <w:p>
            <w:pPr>
              <w:pStyle w:val="TableContents"/>
              <w:bidi w:val="0"/>
              <w:spacing w:before="0" w:after="283"/>
              <w:jc w:val="right"/>
            </w:pPr>
            <w:r>
              <w:t>111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1,620</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 </w:t>
            </w:r>
          </w:p>
        </w:tc>
        <w:tc>
          <w:tcPr>
            <w:tcW w:w="1298" w:type="dxa"/>
            <w:tcBorders/>
            <w:shd w:fill="CCEEFF" w:val="clear"/>
            <w:vAlign w:val="bottom"/>
          </w:tcPr>
          <w:p>
            <w:pPr>
              <w:pStyle w:val="TableContents"/>
              <w:bidi w:val="0"/>
              <w:spacing w:before="0" w:after="283"/>
              <w:jc w:val="right"/>
            </w:pPr>
            <w:r>
              <w:t>213</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170" w:type="dxa"/>
            <w:tcBorders/>
            <w:shd w:fill="CCEEFF" w:val="clear"/>
            <w:vAlign w:val="bottom"/>
          </w:tcPr>
          <w:p>
            <w:pPr>
              <w:pStyle w:val="TableContents"/>
              <w:bidi w:val="0"/>
              <w:spacing w:before="0" w:after="283"/>
              <w:jc w:val="right"/>
            </w:pPr>
            <w:r>
              <w:t>80</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144" w:type="dxa"/>
            <w:tcBorders/>
            <w:shd w:fill="CCEEFF" w:val="clear"/>
            <w:vAlign w:val="bottom"/>
          </w:tcPr>
          <w:p>
            <w:pPr>
              <w:pStyle w:val="TableContents"/>
              <w:bidi w:val="0"/>
              <w:spacing w:before="0" w:after="283"/>
              <w:jc w:val="right"/>
            </w:pPr>
            <w:r>
              <w:t>14,443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23,309</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Property charges and other</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(2,853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(530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3,564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3" w:type="dxa"/>
            <w:tcBorders/>
            <w:vAlign w:val="bottom"/>
          </w:tcPr>
          <w:p>
            <w:pPr>
              <w:pStyle w:val="TableContents"/>
              <w:bidi w:val="0"/>
              <w:spacing w:before="0" w:after="283"/>
              <w:jc w:val="left"/>
            </w:pPr>
            <w:r>
              <w:t> </w:t>
            </w:r>
          </w:p>
        </w:tc>
        <w:tc>
          <w:tcPr>
            <w:tcW w:w="992" w:type="dxa"/>
            <w:tcBorders/>
            <w:vAlign w:val="bottom"/>
          </w:tcPr>
          <w:p>
            <w:pPr>
              <w:pStyle w:val="TableContents"/>
              <w:bidi w:val="0"/>
              <w:spacing w:before="0" w:after="283"/>
              <w:jc w:val="right"/>
            </w:pPr>
            <w:r>
              <w:t>543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257</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106</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144" w:type="dxa"/>
            <w:tcBorders/>
            <w:vAlign w:val="bottom"/>
          </w:tcPr>
          <w:p>
            <w:pPr>
              <w:pStyle w:val="TableContents"/>
              <w:bidi w:val="0"/>
              <w:spacing w:before="0" w:after="283"/>
              <w:jc w:val="right"/>
            </w:pPr>
            <w:r>
              <w:t>618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1,705</w:t>
            </w:r>
          </w:p>
        </w:tc>
        <w:tc>
          <w:tcPr>
            <w:tcW w:w="60" w:type="dxa"/>
            <w:tcBorders/>
            <w:vAlign w:val="bottom"/>
          </w:tcPr>
          <w:p>
            <w:pPr>
              <w:pStyle w:val="TableContents"/>
              <w:bidi w:val="0"/>
              <w:spacing w:before="0" w:after="283"/>
              <w:jc w:val="left"/>
            </w:pPr>
            <w:r>
              <w:t> </w:t>
            </w:r>
          </w:p>
        </w:tc>
      </w:tr>
      <w:t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3" w:type="dxa"/>
            <w:tcBorders/>
            <w:vAlign w:val="bottom"/>
          </w:tcPr>
          <w:p>
            <w:pPr>
              <w:pStyle w:val="TableContents"/>
              <w:pBdr>
                <w:top w:val="single" w:sz="2" w:space="1" w:color="000000"/>
              </w:pBdr>
              <w:bidi w:val="0"/>
              <w:spacing w:before="0" w:after="0"/>
              <w:jc w:val="left"/>
            </w:pPr>
            <w:r>
              <w:t> </w:t>
            </w:r>
          </w:p>
        </w:tc>
        <w:tc>
          <w:tcPr>
            <w:tcW w:w="99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pBdr>
                <w:top w:val="single" w:sz="2" w:space="1" w:color="000000"/>
              </w:pBdr>
              <w:bidi w:val="0"/>
              <w:spacing w:before="0" w:after="0"/>
              <w:jc w:val="left"/>
            </w:pPr>
            <w:r>
              <w:t> </w:t>
            </w:r>
          </w:p>
        </w:tc>
        <w:tc>
          <w:tcPr>
            <w:tcW w:w="129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17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single" w:sz="2" w:space="1" w:color="000000"/>
              </w:pBdr>
              <w:bidi w:val="0"/>
              <w:spacing w:before="0" w:after="0"/>
              <w:jc w:val="left"/>
            </w:pPr>
            <w:r>
              <w:t> </w:t>
            </w:r>
          </w:p>
        </w:tc>
        <w:tc>
          <w:tcPr>
            <w:tcW w:w="114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Adjusted EBITDA</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492,485</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297,818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5,929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3" w:type="dxa"/>
            <w:tcBorders/>
            <w:shd w:fill="CCEEFF" w:val="clear"/>
            <w:vAlign w:val="bottom"/>
          </w:tcPr>
          <w:p>
            <w:pPr>
              <w:pStyle w:val="TableContents"/>
              <w:bidi w:val="0"/>
              <w:spacing w:before="0" w:after="283"/>
              <w:jc w:val="left"/>
            </w:pPr>
            <w:r>
              <w:t> </w:t>
            </w:r>
          </w:p>
        </w:tc>
        <w:tc>
          <w:tcPr>
            <w:tcW w:w="992" w:type="dxa"/>
            <w:tcBorders/>
            <w:shd w:fill="CCEEFF" w:val="clear"/>
            <w:vAlign w:val="bottom"/>
          </w:tcPr>
          <w:p>
            <w:pPr>
              <w:pStyle w:val="TableContents"/>
              <w:bidi w:val="0"/>
              <w:spacing w:before="0" w:after="283"/>
              <w:jc w:val="right"/>
            </w:pPr>
            <w:r>
              <w:t>12,545</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101,251</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 </w:t>
            </w:r>
          </w:p>
        </w:tc>
        <w:tc>
          <w:tcPr>
            <w:tcW w:w="1298" w:type="dxa"/>
            <w:tcBorders/>
            <w:shd w:fill="CCEEFF" w:val="clear"/>
            <w:vAlign w:val="bottom"/>
          </w:tcPr>
          <w:p>
            <w:pPr>
              <w:pStyle w:val="TableContents"/>
              <w:bidi w:val="0"/>
              <w:spacing w:before="0" w:after="283"/>
              <w:jc w:val="right"/>
            </w:pPr>
            <w:r>
              <w:t>54,528</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170" w:type="dxa"/>
            <w:tcBorders/>
            <w:shd w:fill="CCEEFF" w:val="clear"/>
            <w:vAlign w:val="bottom"/>
          </w:tcPr>
          <w:p>
            <w:pPr>
              <w:pStyle w:val="TableContents"/>
              <w:bidi w:val="0"/>
              <w:spacing w:before="0" w:after="283"/>
              <w:jc w:val="right"/>
            </w:pPr>
            <w:r>
              <w:t>7,801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144" w:type="dxa"/>
            <w:tcBorders/>
            <w:shd w:fill="CCEEFF" w:val="clear"/>
            <w:vAlign w:val="bottom"/>
          </w:tcPr>
          <w:p>
            <w:pPr>
              <w:pStyle w:val="TableContents"/>
              <w:bidi w:val="0"/>
              <w:spacing w:before="0" w:after="283"/>
              <w:jc w:val="right"/>
            </w:pPr>
            <w:r>
              <w:t>(83,761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888,596</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Corporate and Other expenses</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3" w:type="dxa"/>
            <w:tcBorders/>
            <w:vAlign w:val="bottom"/>
          </w:tcPr>
          <w:p>
            <w:pPr>
              <w:pStyle w:val="TableContents"/>
              <w:bidi w:val="0"/>
              <w:spacing w:before="0" w:after="283"/>
              <w:jc w:val="left"/>
            </w:pPr>
            <w:r>
              <w:t> </w:t>
            </w:r>
          </w:p>
        </w:tc>
        <w:tc>
          <w:tcPr>
            <w:tcW w:w="992"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144" w:type="dxa"/>
            <w:tcBorders/>
            <w:vAlign w:val="bottom"/>
          </w:tcPr>
          <w:p>
            <w:pPr>
              <w:pStyle w:val="TableContents"/>
              <w:bidi w:val="0"/>
              <w:spacing w:before="0" w:after="283"/>
              <w:jc w:val="right"/>
            </w:pPr>
            <w:r>
              <w:t>83,761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83,761</w:t>
            </w:r>
          </w:p>
        </w:tc>
        <w:tc>
          <w:tcPr>
            <w:tcW w:w="60" w:type="dxa"/>
            <w:tcBorders/>
            <w:vAlign w:val="bottom"/>
          </w:tcPr>
          <w:p>
            <w:pPr>
              <w:pStyle w:val="TableContents"/>
              <w:bidi w:val="0"/>
              <w:spacing w:before="0" w:after="283"/>
              <w:jc w:val="left"/>
            </w:pPr>
            <w:r>
              <w:t> </w:t>
            </w:r>
          </w:p>
        </w:tc>
      </w:tr>
      <w:t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3" w:type="dxa"/>
            <w:tcBorders/>
            <w:vAlign w:val="bottom"/>
          </w:tcPr>
          <w:p>
            <w:pPr>
              <w:pStyle w:val="TableContents"/>
              <w:pBdr>
                <w:top w:val="single" w:sz="2" w:space="1" w:color="000000"/>
              </w:pBdr>
              <w:bidi w:val="0"/>
              <w:spacing w:before="0" w:after="0"/>
              <w:jc w:val="left"/>
            </w:pPr>
            <w:r>
              <w:t> </w:t>
            </w:r>
          </w:p>
        </w:tc>
        <w:tc>
          <w:tcPr>
            <w:tcW w:w="99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pBdr>
                <w:top w:val="single" w:sz="2" w:space="1" w:color="000000"/>
              </w:pBdr>
              <w:bidi w:val="0"/>
              <w:spacing w:before="0" w:after="0"/>
              <w:jc w:val="left"/>
            </w:pPr>
            <w:r>
              <w:t> </w:t>
            </w:r>
          </w:p>
        </w:tc>
        <w:tc>
          <w:tcPr>
            <w:tcW w:w="129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17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single" w:sz="2" w:space="1" w:color="000000"/>
              </w:pBdr>
              <w:bidi w:val="0"/>
              <w:spacing w:before="0" w:after="0"/>
              <w:jc w:val="left"/>
            </w:pPr>
            <w:r>
              <w:t> </w:t>
            </w:r>
          </w:p>
        </w:tc>
        <w:tc>
          <w:tcPr>
            <w:tcW w:w="114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Adjusted Property EBITDA</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492,485</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297,818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35" w:type="dxa"/>
            <w:tcBorders/>
            <w:shd w:fill="CCEEFF" w:val="clear"/>
            <w:vAlign w:val="bottom"/>
          </w:tcPr>
          <w:p>
            <w:pPr>
              <w:pStyle w:val="TableContents"/>
              <w:bidi w:val="0"/>
              <w:spacing w:before="0" w:after="283"/>
              <w:jc w:val="right"/>
            </w:pPr>
            <w:r>
              <w:t>5,929</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3" w:type="dxa"/>
            <w:tcBorders/>
            <w:shd w:fill="CCEEFF" w:val="clear"/>
            <w:vAlign w:val="bottom"/>
          </w:tcPr>
          <w:p>
            <w:pPr>
              <w:pStyle w:val="TableContents"/>
              <w:bidi w:val="0"/>
              <w:spacing w:before="0" w:after="283"/>
              <w:jc w:val="left"/>
            </w:pPr>
            <w:r>
              <w:t>$</w:t>
            </w:r>
          </w:p>
        </w:tc>
        <w:tc>
          <w:tcPr>
            <w:tcW w:w="992" w:type="dxa"/>
            <w:tcBorders/>
            <w:shd w:fill="CCEEFF" w:val="clear"/>
            <w:vAlign w:val="bottom"/>
          </w:tcPr>
          <w:p>
            <w:pPr>
              <w:pStyle w:val="TableContents"/>
              <w:bidi w:val="0"/>
              <w:spacing w:before="0" w:after="283"/>
              <w:jc w:val="right"/>
            </w:pPr>
            <w:r>
              <w:t>12,545</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101,251</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w:t>
            </w:r>
          </w:p>
        </w:tc>
        <w:tc>
          <w:tcPr>
            <w:tcW w:w="1298" w:type="dxa"/>
            <w:tcBorders/>
            <w:shd w:fill="CCEEFF" w:val="clear"/>
            <w:vAlign w:val="bottom"/>
          </w:tcPr>
          <w:p>
            <w:pPr>
              <w:pStyle w:val="TableContents"/>
              <w:bidi w:val="0"/>
              <w:spacing w:before="0" w:after="283"/>
              <w:jc w:val="right"/>
            </w:pPr>
            <w:r>
              <w:t>54,528</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w:t>
            </w:r>
          </w:p>
        </w:tc>
        <w:tc>
          <w:tcPr>
            <w:tcW w:w="1170" w:type="dxa"/>
            <w:tcBorders/>
            <w:shd w:fill="CCEEFF" w:val="clear"/>
            <w:vAlign w:val="bottom"/>
          </w:tcPr>
          <w:p>
            <w:pPr>
              <w:pStyle w:val="TableContents"/>
              <w:bidi w:val="0"/>
              <w:spacing w:before="0" w:after="283"/>
              <w:jc w:val="right"/>
            </w:pPr>
            <w:r>
              <w:t>7,801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w:t>
            </w:r>
          </w:p>
        </w:tc>
        <w:tc>
          <w:tcPr>
            <w:tcW w:w="1144"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0" w:type="dxa"/>
            <w:tcBorders/>
            <w:shd w:fill="CCEEFF" w:val="clear"/>
            <w:vAlign w:val="bottom"/>
          </w:tcPr>
          <w:p>
            <w:pPr>
              <w:pStyle w:val="TableContents"/>
              <w:bidi w:val="0"/>
              <w:spacing w:before="0" w:after="283"/>
              <w:jc w:val="right"/>
            </w:pPr>
            <w:r>
              <w:t>972,357</w:t>
            </w:r>
          </w:p>
        </w:tc>
        <w:tc>
          <w:tcPr>
            <w:tcW w:w="60" w:type="dxa"/>
            <w:tcBorders/>
            <w:shd w:fill="CCEEFF" w:val="clear"/>
            <w:vAlign w:val="bottom"/>
          </w:tcPr>
          <w:p>
            <w:pPr>
              <w:pStyle w:val="TableContents"/>
              <w:bidi w:val="0"/>
              <w:spacing w:before="0" w:after="283"/>
              <w:jc w:val="left"/>
            </w:pPr>
            <w:r>
              <w:t> </w:t>
            </w:r>
          </w:p>
        </w:tc>
      </w:tr>
      <w:t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63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3" w:type="dxa"/>
            <w:tcBorders/>
            <w:vAlign w:val="bottom"/>
          </w:tcPr>
          <w:p>
            <w:pPr>
              <w:pStyle w:val="TableContents"/>
              <w:pBdr>
                <w:top w:val="double" w:sz="6" w:space="1" w:color="000000"/>
              </w:pBdr>
              <w:bidi w:val="0"/>
              <w:spacing w:before="0" w:after="0"/>
              <w:jc w:val="left"/>
            </w:pPr>
            <w:r>
              <w:t> </w:t>
            </w:r>
          </w:p>
        </w:tc>
        <w:tc>
          <w:tcPr>
            <w:tcW w:w="99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pBdr>
                <w:top w:val="double" w:sz="6" w:space="1" w:color="000000"/>
              </w:pBdr>
              <w:bidi w:val="0"/>
              <w:spacing w:before="0" w:after="0"/>
              <w:jc w:val="left"/>
            </w:pPr>
            <w:r>
              <w:t> </w:t>
            </w:r>
          </w:p>
        </w:tc>
        <w:tc>
          <w:tcPr>
            <w:tcW w:w="1298"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pBdr>
                <w:top w:val="double" w:sz="6" w:space="1" w:color="000000"/>
              </w:pBdr>
              <w:bidi w:val="0"/>
              <w:spacing w:before="0" w:after="0"/>
              <w:jc w:val="left"/>
            </w:pPr>
            <w:r>
              <w:t> </w:t>
            </w:r>
          </w:p>
        </w:tc>
        <w:tc>
          <w:tcPr>
            <w:tcW w:w="117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double" w:sz="6" w:space="1" w:color="000000"/>
              </w:pBdr>
              <w:bidi w:val="0"/>
              <w:spacing w:before="0" w:after="0"/>
              <w:jc w:val="left"/>
            </w:pPr>
            <w:r>
              <w:t> </w:t>
            </w:r>
          </w:p>
        </w:tc>
        <w:tc>
          <w:tcPr>
            <w:tcW w:w="1144"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r>
        <w:trPr>
          <w:trHeight w:val="240" w:hRule="atLeast"/>
        </w:trPr>
        <w:tc>
          <w:tcPr>
            <w:tcW w:w="995" w:type="dxa"/>
            <w:tcBorders/>
            <w:vAlign w:val="center"/>
          </w:tcPr>
          <w:p>
            <w:pPr>
              <w:pStyle w:val="TableContents"/>
              <w:bidi w:val="0"/>
              <w:spacing w:before="0" w:after="283"/>
              <w:jc w:val="left"/>
              <w:rPr>
                <w:sz w:val="4"/>
                <w:szCs w:val="4"/>
              </w:rPr>
            </w:pPr>
            <w:r>
              <w:rPr>
                <w:sz w:val="4"/>
                <w:szCs w:val="4"/>
              </w:rPr>
            </w:r>
          </w:p>
        </w:tc>
        <w:tc>
          <w:tcPr>
            <w:tcW w:w="11830" w:type="dxa"/>
            <w:gridSpan w:val="36"/>
            <w:tcBorders/>
            <w:vAlign w:val="center"/>
          </w:tcPr>
          <w:p>
            <w:pPr>
              <w:pStyle w:val="TableContents"/>
              <w:bidi w:val="0"/>
              <w:spacing w:before="0" w:after="283"/>
              <w:jc w:val="left"/>
              <w:rPr>
                <w:sz w:val="4"/>
                <w:szCs w:val="4"/>
              </w:rPr>
            </w:pPr>
            <w:r>
              <w:rPr>
                <w:sz w:val="4"/>
                <w:szCs w:val="4"/>
              </w:rPr>
            </w:r>
          </w:p>
        </w:tc>
      </w:tr>
      <w:tr>
        <w:tc>
          <w:tcPr>
            <w:tcW w:w="99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710"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 2025</w:t>
            </w:r>
          </w:p>
        </w:tc>
        <w:tc>
          <w:tcPr>
            <w:tcW w:w="60" w:type="dxa"/>
            <w:tcBorders/>
            <w:vAlign w:val="bottom"/>
          </w:tcPr>
          <w:p>
            <w:pPr>
              <w:pStyle w:val="TableContents"/>
              <w:bidi w:val="0"/>
              <w:spacing w:before="0" w:after="283"/>
              <w:jc w:val="left"/>
            </w:pPr>
            <w:r>
              <w:t> </w:t>
            </w:r>
          </w:p>
        </w:tc>
      </w:tr>
      <w:tr>
        <w:tc>
          <w:tcPr>
            <w:tcW w:w="99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Studio</w:t>
              <w:br/>
              <w:t>City</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Altira</w:t>
              <w:br/>
              <w:t>Macau</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pPr>
            <w:r>
              <w:rPr>
                <w:b/>
              </w:rPr>
              <w:t>Mocha and</w:t>
            </w:r>
            <w:r>
              <w:br/>
            </w:r>
            <w:r>
              <w:rPr>
                <w:b/>
              </w:rPr>
              <w:t>Other (3)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br/>
              <w:t>Manila</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 Dreams</w:t>
              <w:br/>
              <w:t>Mediterranean</w:t>
              <w:br/>
              <w:t>and Other</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Operations (4)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w:t>
              <w:br/>
              <w:t>and Other (4)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income (loss)</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454,663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131,376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35" w:type="dxa"/>
            <w:tcBorders/>
            <w:shd w:fill="CCEEFF" w:val="clear"/>
            <w:vAlign w:val="bottom"/>
          </w:tcPr>
          <w:p>
            <w:pPr>
              <w:pStyle w:val="TableContents"/>
              <w:bidi w:val="0"/>
              <w:spacing w:before="0" w:after="283"/>
              <w:jc w:val="right"/>
            </w:pPr>
            <w:r>
              <w:t>(4,753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3" w:type="dxa"/>
            <w:tcBorders/>
            <w:shd w:fill="CCEEFF" w:val="clear"/>
            <w:vAlign w:val="bottom"/>
          </w:tcPr>
          <w:p>
            <w:pPr>
              <w:pStyle w:val="TableContents"/>
              <w:bidi w:val="0"/>
              <w:spacing w:before="0" w:after="283"/>
              <w:jc w:val="left"/>
            </w:pPr>
            <w:r>
              <w:t>$</w:t>
            </w:r>
          </w:p>
        </w:tc>
        <w:tc>
          <w:tcPr>
            <w:tcW w:w="992" w:type="dxa"/>
            <w:tcBorders/>
            <w:shd w:fill="CCEEFF" w:val="clear"/>
            <w:vAlign w:val="bottom"/>
          </w:tcPr>
          <w:p>
            <w:pPr>
              <w:pStyle w:val="TableContents"/>
              <w:bidi w:val="0"/>
              <w:spacing w:before="0" w:after="283"/>
              <w:jc w:val="right"/>
            </w:pPr>
            <w:r>
              <w:t>(41,496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50,565</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w:t>
            </w:r>
          </w:p>
        </w:tc>
        <w:tc>
          <w:tcPr>
            <w:tcW w:w="1298" w:type="dxa"/>
            <w:tcBorders/>
            <w:shd w:fill="CCEEFF" w:val="clear"/>
            <w:vAlign w:val="bottom"/>
          </w:tcPr>
          <w:p>
            <w:pPr>
              <w:pStyle w:val="TableContents"/>
              <w:bidi w:val="0"/>
              <w:spacing w:before="0" w:after="283"/>
              <w:jc w:val="right"/>
            </w:pPr>
            <w:r>
              <w:t>8,317</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w:t>
            </w:r>
          </w:p>
        </w:tc>
        <w:tc>
          <w:tcPr>
            <w:tcW w:w="1170" w:type="dxa"/>
            <w:tcBorders/>
            <w:shd w:fill="CCEEFF" w:val="clear"/>
            <w:vAlign w:val="bottom"/>
          </w:tcPr>
          <w:p>
            <w:pPr>
              <w:pStyle w:val="TableContents"/>
              <w:bidi w:val="0"/>
              <w:spacing w:before="0" w:after="283"/>
              <w:jc w:val="right"/>
            </w:pPr>
            <w:r>
              <w:t>(25,303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w:t>
            </w:r>
          </w:p>
        </w:tc>
        <w:tc>
          <w:tcPr>
            <w:tcW w:w="1144" w:type="dxa"/>
            <w:tcBorders/>
            <w:shd w:fill="CCEEFF" w:val="clear"/>
            <w:vAlign w:val="bottom"/>
          </w:tcPr>
          <w:p>
            <w:pPr>
              <w:pStyle w:val="TableContents"/>
              <w:bidi w:val="0"/>
              <w:spacing w:before="0" w:after="283"/>
              <w:jc w:val="right"/>
            </w:pPr>
            <w:r>
              <w:t>(119,332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0" w:type="dxa"/>
            <w:tcBorders/>
            <w:shd w:fill="CCEEFF" w:val="clear"/>
            <w:vAlign w:val="bottom"/>
          </w:tcPr>
          <w:p>
            <w:pPr>
              <w:pStyle w:val="TableContents"/>
              <w:bidi w:val="0"/>
              <w:spacing w:before="0" w:after="283"/>
              <w:jc w:val="right"/>
            </w:pPr>
            <w:r>
              <w:t>454,037</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Payments to the Philippine Parties</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3" w:type="dxa"/>
            <w:tcBorders/>
            <w:vAlign w:val="bottom"/>
          </w:tcPr>
          <w:p>
            <w:pPr>
              <w:pStyle w:val="TableContents"/>
              <w:bidi w:val="0"/>
              <w:spacing w:before="0" w:after="283"/>
              <w:jc w:val="left"/>
            </w:pPr>
            <w:r>
              <w:t> </w:t>
            </w:r>
          </w:p>
        </w:tc>
        <w:tc>
          <w:tcPr>
            <w:tcW w:w="992"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28,514</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144"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28,514</w:t>
            </w:r>
          </w:p>
        </w:tc>
        <w:tc>
          <w:tcPr>
            <w:tcW w:w="60" w:type="dxa"/>
            <w:tcBorders/>
            <w:vAlign w:val="bottom"/>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Integrated resort and casino rent (5)</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3" w:type="dxa"/>
            <w:tcBorders/>
            <w:shd w:fill="CCEEFF" w:val="clear"/>
            <w:vAlign w:val="bottom"/>
          </w:tcPr>
          <w:p>
            <w:pPr>
              <w:pStyle w:val="TableContents"/>
              <w:bidi w:val="0"/>
              <w:spacing w:before="0" w:after="283"/>
              <w:jc w:val="left"/>
            </w:pPr>
            <w:r>
              <w:t> </w:t>
            </w:r>
          </w:p>
        </w:tc>
        <w:tc>
          <w:tcPr>
            <w:tcW w:w="992"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4,192</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 </w:t>
            </w:r>
          </w:p>
        </w:tc>
        <w:tc>
          <w:tcPr>
            <w:tcW w:w="1298"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170" w:type="dxa"/>
            <w:tcBorders/>
            <w:shd w:fill="CCEEFF" w:val="clear"/>
            <w:vAlign w:val="bottom"/>
          </w:tcPr>
          <w:p>
            <w:pPr>
              <w:pStyle w:val="TableContents"/>
              <w:bidi w:val="0"/>
              <w:spacing w:before="0" w:after="283"/>
              <w:jc w:val="right"/>
            </w:pPr>
            <w:r>
              <w:t>5,367</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144"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9,559</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Pre-opening costs (6)</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28,871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500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3" w:type="dxa"/>
            <w:tcBorders/>
            <w:vAlign w:val="bottom"/>
          </w:tcPr>
          <w:p>
            <w:pPr>
              <w:pStyle w:val="TableContents"/>
              <w:bidi w:val="0"/>
              <w:spacing w:before="0" w:after="283"/>
              <w:jc w:val="left"/>
            </w:pPr>
            <w:r>
              <w:t> </w:t>
            </w:r>
          </w:p>
        </w:tc>
        <w:tc>
          <w:tcPr>
            <w:tcW w:w="992"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16,873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144"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46,244</w:t>
            </w:r>
          </w:p>
        </w:tc>
        <w:tc>
          <w:tcPr>
            <w:tcW w:w="60" w:type="dxa"/>
            <w:tcBorders/>
            <w:vAlign w:val="bottom"/>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Development costs</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3" w:type="dxa"/>
            <w:tcBorders/>
            <w:shd w:fill="CCEEFF" w:val="clear"/>
            <w:vAlign w:val="bottom"/>
          </w:tcPr>
          <w:p>
            <w:pPr>
              <w:pStyle w:val="TableContents"/>
              <w:bidi w:val="0"/>
              <w:spacing w:before="0" w:after="283"/>
              <w:jc w:val="left"/>
            </w:pPr>
            <w:r>
              <w:t> </w:t>
            </w:r>
          </w:p>
        </w:tc>
        <w:tc>
          <w:tcPr>
            <w:tcW w:w="992"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 </w:t>
            </w:r>
          </w:p>
        </w:tc>
        <w:tc>
          <w:tcPr>
            <w:tcW w:w="1298"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17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144" w:type="dxa"/>
            <w:tcBorders/>
            <w:shd w:fill="CCEEFF" w:val="clear"/>
            <w:vAlign w:val="bottom"/>
          </w:tcPr>
          <w:p>
            <w:pPr>
              <w:pStyle w:val="TableContents"/>
              <w:bidi w:val="0"/>
              <w:spacing w:before="0" w:after="283"/>
              <w:jc w:val="right"/>
            </w:pPr>
            <w:r>
              <w:t>6,266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6,266</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153,001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171,826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1,709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3" w:type="dxa"/>
            <w:tcBorders/>
            <w:vAlign w:val="bottom"/>
          </w:tcPr>
          <w:p>
            <w:pPr>
              <w:pStyle w:val="TableContents"/>
              <w:bidi w:val="0"/>
              <w:spacing w:before="0" w:after="283"/>
              <w:jc w:val="left"/>
            </w:pPr>
            <w:r>
              <w:t> </w:t>
            </w:r>
          </w:p>
        </w:tc>
        <w:tc>
          <w:tcPr>
            <w:tcW w:w="992" w:type="dxa"/>
            <w:tcBorders/>
            <w:vAlign w:val="bottom"/>
          </w:tcPr>
          <w:p>
            <w:pPr>
              <w:pStyle w:val="TableContents"/>
              <w:bidi w:val="0"/>
              <w:spacing w:before="0" w:after="283"/>
              <w:jc w:val="right"/>
            </w:pPr>
            <w:r>
              <w:t>3,552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15,482</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38,444</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2,318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144" w:type="dxa"/>
            <w:tcBorders/>
            <w:vAlign w:val="bottom"/>
          </w:tcPr>
          <w:p>
            <w:pPr>
              <w:pStyle w:val="TableContents"/>
              <w:bidi w:val="0"/>
              <w:spacing w:before="0" w:after="283"/>
              <w:jc w:val="right"/>
            </w:pPr>
            <w:r>
              <w:t>16,321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402,653</w:t>
            </w:r>
          </w:p>
        </w:tc>
        <w:tc>
          <w:tcPr>
            <w:tcW w:w="60" w:type="dxa"/>
            <w:tcBorders/>
            <w:vAlign w:val="bottom"/>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Share-based compensation</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4,498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1,182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327</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3" w:type="dxa"/>
            <w:tcBorders/>
            <w:shd w:fill="CCEEFF" w:val="clear"/>
            <w:vAlign w:val="bottom"/>
          </w:tcPr>
          <w:p>
            <w:pPr>
              <w:pStyle w:val="TableContents"/>
              <w:bidi w:val="0"/>
              <w:spacing w:before="0" w:after="283"/>
              <w:jc w:val="left"/>
            </w:pPr>
            <w:r>
              <w:t> </w:t>
            </w:r>
          </w:p>
        </w:tc>
        <w:tc>
          <w:tcPr>
            <w:tcW w:w="992" w:type="dxa"/>
            <w:tcBorders/>
            <w:shd w:fill="CCEEFF" w:val="clear"/>
            <w:vAlign w:val="bottom"/>
          </w:tcPr>
          <w:p>
            <w:pPr>
              <w:pStyle w:val="TableContents"/>
              <w:bidi w:val="0"/>
              <w:spacing w:before="0" w:after="283"/>
              <w:jc w:val="right"/>
            </w:pPr>
            <w:r>
              <w:t>137</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756</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 </w:t>
            </w:r>
          </w:p>
        </w:tc>
        <w:tc>
          <w:tcPr>
            <w:tcW w:w="1298" w:type="dxa"/>
            <w:tcBorders/>
            <w:shd w:fill="CCEEFF" w:val="clear"/>
            <w:vAlign w:val="bottom"/>
          </w:tcPr>
          <w:p>
            <w:pPr>
              <w:pStyle w:val="TableContents"/>
              <w:bidi w:val="0"/>
              <w:spacing w:before="0" w:after="283"/>
              <w:jc w:val="right"/>
            </w:pPr>
            <w:r>
              <w:t>312</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170" w:type="dxa"/>
            <w:tcBorders/>
            <w:shd w:fill="CCEEFF" w:val="clear"/>
            <w:vAlign w:val="bottom"/>
          </w:tcPr>
          <w:p>
            <w:pPr>
              <w:pStyle w:val="TableContents"/>
              <w:bidi w:val="0"/>
              <w:spacing w:before="0" w:after="283"/>
              <w:jc w:val="right"/>
            </w:pPr>
            <w:r>
              <w:t>63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144" w:type="dxa"/>
            <w:tcBorders/>
            <w:shd w:fill="CCEEFF" w:val="clear"/>
            <w:vAlign w:val="bottom"/>
          </w:tcPr>
          <w:p>
            <w:pPr>
              <w:pStyle w:val="TableContents"/>
              <w:bidi w:val="0"/>
              <w:spacing w:before="0" w:after="283"/>
              <w:jc w:val="right"/>
            </w:pPr>
            <w:r>
              <w:t>14,885</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22,160</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Property charges and other</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(12,608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2,319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2,162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3" w:type="dxa"/>
            <w:tcBorders/>
            <w:vAlign w:val="bottom"/>
          </w:tcPr>
          <w:p>
            <w:pPr>
              <w:pStyle w:val="TableContents"/>
              <w:bidi w:val="0"/>
              <w:spacing w:before="0" w:after="283"/>
              <w:jc w:val="left"/>
            </w:pPr>
            <w:r>
              <w:t> </w:t>
            </w:r>
          </w:p>
        </w:tc>
        <w:tc>
          <w:tcPr>
            <w:tcW w:w="992" w:type="dxa"/>
            <w:tcBorders/>
            <w:vAlign w:val="bottom"/>
          </w:tcPr>
          <w:p>
            <w:pPr>
              <w:pStyle w:val="TableContents"/>
              <w:bidi w:val="0"/>
              <w:spacing w:before="0" w:after="283"/>
              <w:jc w:val="right"/>
            </w:pPr>
            <w:r>
              <w:t>55,583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224</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128</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144" w:type="dxa"/>
            <w:tcBorders/>
            <w:vAlign w:val="bottom"/>
          </w:tcPr>
          <w:p>
            <w:pPr>
              <w:pStyle w:val="TableContents"/>
              <w:bidi w:val="0"/>
              <w:spacing w:before="0" w:after="283"/>
              <w:jc w:val="right"/>
            </w:pPr>
            <w:r>
              <w:t>(388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47,420</w:t>
            </w:r>
          </w:p>
        </w:tc>
        <w:tc>
          <w:tcPr>
            <w:tcW w:w="60" w:type="dxa"/>
            <w:tcBorders/>
            <w:vAlign w:val="bottom"/>
          </w:tcPr>
          <w:p>
            <w:pPr>
              <w:pStyle w:val="TableContents"/>
              <w:bidi w:val="0"/>
              <w:spacing w:before="0" w:after="283"/>
              <w:jc w:val="left"/>
            </w:pPr>
            <w:r>
              <w:t> </w:t>
            </w:r>
          </w:p>
        </w:tc>
      </w:tr>
      <w:t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3" w:type="dxa"/>
            <w:tcBorders/>
            <w:vAlign w:val="bottom"/>
          </w:tcPr>
          <w:p>
            <w:pPr>
              <w:pStyle w:val="TableContents"/>
              <w:pBdr>
                <w:top w:val="single" w:sz="2" w:space="1" w:color="000000"/>
              </w:pBdr>
              <w:bidi w:val="0"/>
              <w:spacing w:before="0" w:after="0"/>
              <w:jc w:val="left"/>
            </w:pPr>
            <w:r>
              <w:t> </w:t>
            </w:r>
          </w:p>
        </w:tc>
        <w:tc>
          <w:tcPr>
            <w:tcW w:w="99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pBdr>
                <w:top w:val="single" w:sz="2" w:space="1" w:color="000000"/>
              </w:pBdr>
              <w:bidi w:val="0"/>
              <w:spacing w:before="0" w:after="0"/>
              <w:jc w:val="left"/>
            </w:pPr>
            <w:r>
              <w:t> </w:t>
            </w:r>
          </w:p>
        </w:tc>
        <w:tc>
          <w:tcPr>
            <w:tcW w:w="129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17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single" w:sz="2" w:space="1" w:color="000000"/>
              </w:pBdr>
              <w:bidi w:val="0"/>
              <w:spacing w:before="0" w:after="0"/>
              <w:jc w:val="left"/>
            </w:pPr>
            <w:r>
              <w:t> </w:t>
            </w:r>
          </w:p>
        </w:tc>
        <w:tc>
          <w:tcPr>
            <w:tcW w:w="114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Adjusted EBITDA</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628,425</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307,203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right"/>
            </w:pPr>
            <w:r>
              <w:t>(555</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3" w:type="dxa"/>
            <w:tcBorders/>
            <w:shd w:fill="CCEEFF" w:val="clear"/>
            <w:vAlign w:val="bottom"/>
          </w:tcPr>
          <w:p>
            <w:pPr>
              <w:pStyle w:val="TableContents"/>
              <w:bidi w:val="0"/>
              <w:spacing w:before="0" w:after="283"/>
              <w:jc w:val="left"/>
            </w:pPr>
            <w:r>
              <w:t> </w:t>
            </w:r>
          </w:p>
        </w:tc>
        <w:tc>
          <w:tcPr>
            <w:tcW w:w="992" w:type="dxa"/>
            <w:tcBorders/>
            <w:shd w:fill="CCEEFF" w:val="clear"/>
            <w:vAlign w:val="bottom"/>
          </w:tcPr>
          <w:p>
            <w:pPr>
              <w:pStyle w:val="TableContents"/>
              <w:bidi w:val="0"/>
              <w:spacing w:before="0" w:after="283"/>
              <w:jc w:val="right"/>
            </w:pPr>
            <w:r>
              <w:t>17,776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99,733</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 </w:t>
            </w:r>
          </w:p>
        </w:tc>
        <w:tc>
          <w:tcPr>
            <w:tcW w:w="1298" w:type="dxa"/>
            <w:tcBorders/>
            <w:shd w:fill="CCEEFF" w:val="clear"/>
            <w:vAlign w:val="bottom"/>
          </w:tcPr>
          <w:p>
            <w:pPr>
              <w:pStyle w:val="TableContents"/>
              <w:bidi w:val="0"/>
              <w:spacing w:before="0" w:after="283"/>
              <w:jc w:val="right"/>
            </w:pPr>
            <w:r>
              <w:t>47,201</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170" w:type="dxa"/>
            <w:tcBorders/>
            <w:shd w:fill="CCEEFF" w:val="clear"/>
            <w:vAlign w:val="bottom"/>
          </w:tcPr>
          <w:p>
            <w:pPr>
              <w:pStyle w:val="TableContents"/>
              <w:bidi w:val="0"/>
              <w:spacing w:before="0" w:after="283"/>
              <w:jc w:val="right"/>
            </w:pPr>
            <w:r>
              <w:t>(682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144" w:type="dxa"/>
            <w:tcBorders/>
            <w:shd w:fill="CCEEFF" w:val="clear"/>
            <w:vAlign w:val="bottom"/>
          </w:tcPr>
          <w:p>
            <w:pPr>
              <w:pStyle w:val="TableContents"/>
              <w:bidi w:val="0"/>
              <w:spacing w:before="0" w:after="283"/>
              <w:jc w:val="right"/>
            </w:pPr>
            <w:r>
              <w:t>(82,248</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1,016,853</w:t>
            </w:r>
          </w:p>
        </w:tc>
        <w:tc>
          <w:tcPr>
            <w:tcW w:w="60" w:type="dxa"/>
            <w:tcBorders/>
            <w:shd w:fill="CCEEFF" w:val="clear"/>
            <w:vAlign w:val="bottom"/>
          </w:tcPr>
          <w:p>
            <w:pPr>
              <w:pStyle w:val="TableContents"/>
              <w:bidi w:val="0"/>
              <w:spacing w:before="0" w:after="283"/>
              <w:jc w:val="left"/>
            </w:pPr>
            <w:r>
              <w:t> </w:t>
            </w:r>
          </w:p>
        </w:tc>
      </w:tr>
      <w:t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Corporate and Other expenses (4)</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3" w:type="dxa"/>
            <w:tcBorders/>
            <w:vAlign w:val="bottom"/>
          </w:tcPr>
          <w:p>
            <w:pPr>
              <w:pStyle w:val="TableContents"/>
              <w:bidi w:val="0"/>
              <w:spacing w:before="0" w:after="283"/>
              <w:jc w:val="left"/>
            </w:pPr>
            <w:r>
              <w:t> </w:t>
            </w:r>
          </w:p>
        </w:tc>
        <w:tc>
          <w:tcPr>
            <w:tcW w:w="992"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98"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17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144" w:type="dxa"/>
            <w:tcBorders/>
            <w:vAlign w:val="bottom"/>
          </w:tcPr>
          <w:p>
            <w:pPr>
              <w:pStyle w:val="TableContents"/>
              <w:bidi w:val="0"/>
              <w:spacing w:before="0" w:after="283"/>
              <w:jc w:val="right"/>
            </w:pPr>
            <w:r>
              <w:t>82,248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82,248</w:t>
            </w:r>
          </w:p>
        </w:tc>
        <w:tc>
          <w:tcPr>
            <w:tcW w:w="60" w:type="dxa"/>
            <w:tcBorders/>
            <w:vAlign w:val="bottom"/>
          </w:tcPr>
          <w:p>
            <w:pPr>
              <w:pStyle w:val="TableContents"/>
              <w:bidi w:val="0"/>
              <w:spacing w:before="0" w:after="283"/>
              <w:jc w:val="left"/>
            </w:pPr>
            <w:r>
              <w:t> </w:t>
            </w:r>
          </w:p>
        </w:tc>
      </w:tr>
      <w:t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3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3" w:type="dxa"/>
            <w:tcBorders/>
            <w:vAlign w:val="bottom"/>
          </w:tcPr>
          <w:p>
            <w:pPr>
              <w:pStyle w:val="TableContents"/>
              <w:pBdr>
                <w:top w:val="single" w:sz="2" w:space="1" w:color="000000"/>
              </w:pBdr>
              <w:bidi w:val="0"/>
              <w:spacing w:before="0" w:after="0"/>
              <w:jc w:val="left"/>
            </w:pPr>
            <w:r>
              <w:t> </w:t>
            </w:r>
          </w:p>
        </w:tc>
        <w:tc>
          <w:tcPr>
            <w:tcW w:w="99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pBdr>
                <w:top w:val="single" w:sz="2" w:space="1" w:color="000000"/>
              </w:pBdr>
              <w:bidi w:val="0"/>
              <w:spacing w:before="0" w:after="0"/>
              <w:jc w:val="left"/>
            </w:pPr>
            <w:r>
              <w:t> </w:t>
            </w:r>
          </w:p>
        </w:tc>
        <w:tc>
          <w:tcPr>
            <w:tcW w:w="129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17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single" w:sz="2" w:space="1" w:color="000000"/>
              </w:pBdr>
              <w:bidi w:val="0"/>
              <w:spacing w:before="0" w:after="0"/>
              <w:jc w:val="left"/>
            </w:pPr>
            <w:r>
              <w:t> </w:t>
            </w:r>
          </w:p>
        </w:tc>
        <w:tc>
          <w:tcPr>
            <w:tcW w:w="114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Adjusted Property EBITDA</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628,425</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307,203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35" w:type="dxa"/>
            <w:tcBorders/>
            <w:shd w:fill="CCEEFF" w:val="clear"/>
            <w:vAlign w:val="bottom"/>
          </w:tcPr>
          <w:p>
            <w:pPr>
              <w:pStyle w:val="TableContents"/>
              <w:bidi w:val="0"/>
              <w:spacing w:before="0" w:after="283"/>
              <w:jc w:val="right"/>
            </w:pPr>
            <w:r>
              <w:t>(555</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3" w:type="dxa"/>
            <w:tcBorders/>
            <w:shd w:fill="CCEEFF" w:val="clear"/>
            <w:vAlign w:val="bottom"/>
          </w:tcPr>
          <w:p>
            <w:pPr>
              <w:pStyle w:val="TableContents"/>
              <w:bidi w:val="0"/>
              <w:spacing w:before="0" w:after="283"/>
              <w:jc w:val="left"/>
            </w:pPr>
            <w:r>
              <w:t>$</w:t>
            </w:r>
          </w:p>
        </w:tc>
        <w:tc>
          <w:tcPr>
            <w:tcW w:w="992" w:type="dxa"/>
            <w:tcBorders/>
            <w:shd w:fill="CCEEFF" w:val="clear"/>
            <w:vAlign w:val="bottom"/>
          </w:tcPr>
          <w:p>
            <w:pPr>
              <w:pStyle w:val="TableContents"/>
              <w:bidi w:val="0"/>
              <w:spacing w:before="0" w:after="283"/>
              <w:jc w:val="right"/>
            </w:pPr>
            <w:r>
              <w:t>17,776</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0" w:type="dxa"/>
            <w:tcBorders/>
            <w:shd w:fill="CCEEFF" w:val="clear"/>
            <w:vAlign w:val="bottom"/>
          </w:tcPr>
          <w:p>
            <w:pPr>
              <w:pStyle w:val="TableContents"/>
              <w:bidi w:val="0"/>
              <w:spacing w:before="0" w:after="283"/>
              <w:jc w:val="right"/>
            </w:pPr>
            <w:r>
              <w:t>99,733</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67" w:type="dxa"/>
            <w:tcBorders/>
            <w:shd w:fill="CCEEFF" w:val="clear"/>
            <w:vAlign w:val="bottom"/>
          </w:tcPr>
          <w:p>
            <w:pPr>
              <w:pStyle w:val="TableContents"/>
              <w:bidi w:val="0"/>
              <w:spacing w:before="0" w:after="283"/>
              <w:jc w:val="left"/>
            </w:pPr>
            <w:r>
              <w:t>$</w:t>
            </w:r>
          </w:p>
        </w:tc>
        <w:tc>
          <w:tcPr>
            <w:tcW w:w="1298" w:type="dxa"/>
            <w:tcBorders/>
            <w:shd w:fill="CCEEFF" w:val="clear"/>
            <w:vAlign w:val="bottom"/>
          </w:tcPr>
          <w:p>
            <w:pPr>
              <w:pStyle w:val="TableContents"/>
              <w:bidi w:val="0"/>
              <w:spacing w:before="0" w:after="283"/>
              <w:jc w:val="right"/>
            </w:pPr>
            <w:r>
              <w:t>47,201</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w:t>
            </w:r>
          </w:p>
        </w:tc>
        <w:tc>
          <w:tcPr>
            <w:tcW w:w="1170" w:type="dxa"/>
            <w:tcBorders/>
            <w:shd w:fill="CCEEFF" w:val="clear"/>
            <w:vAlign w:val="bottom"/>
          </w:tcPr>
          <w:p>
            <w:pPr>
              <w:pStyle w:val="TableContents"/>
              <w:bidi w:val="0"/>
              <w:spacing w:before="0" w:after="283"/>
              <w:jc w:val="right"/>
            </w:pPr>
            <w:r>
              <w:t>(682</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w:t>
            </w:r>
          </w:p>
        </w:tc>
        <w:tc>
          <w:tcPr>
            <w:tcW w:w="1144"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0" w:type="dxa"/>
            <w:tcBorders/>
            <w:shd w:fill="CCEEFF" w:val="clear"/>
            <w:vAlign w:val="bottom"/>
          </w:tcPr>
          <w:p>
            <w:pPr>
              <w:pStyle w:val="TableContents"/>
              <w:bidi w:val="0"/>
              <w:spacing w:before="0" w:after="283"/>
              <w:jc w:val="right"/>
            </w:pPr>
            <w:r>
              <w:t>1,099,101</w:t>
            </w:r>
          </w:p>
        </w:tc>
        <w:tc>
          <w:tcPr>
            <w:tcW w:w="60" w:type="dxa"/>
            <w:tcBorders/>
            <w:shd w:fill="CCEEFF" w:val="clear"/>
            <w:vAlign w:val="bottom"/>
          </w:tcPr>
          <w:p>
            <w:pPr>
              <w:pStyle w:val="TableContents"/>
              <w:bidi w:val="0"/>
              <w:spacing w:before="0" w:after="283"/>
              <w:jc w:val="left"/>
            </w:pPr>
            <w:r>
              <w:t> </w:t>
            </w:r>
          </w:p>
        </w:tc>
      </w:tr>
      <w:t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63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3" w:type="dxa"/>
            <w:tcBorders/>
            <w:vAlign w:val="bottom"/>
          </w:tcPr>
          <w:p>
            <w:pPr>
              <w:pStyle w:val="TableContents"/>
              <w:pBdr>
                <w:top w:val="double" w:sz="6" w:space="1" w:color="000000"/>
              </w:pBdr>
              <w:bidi w:val="0"/>
              <w:spacing w:before="0" w:after="0"/>
              <w:jc w:val="left"/>
            </w:pPr>
            <w:r>
              <w:t> </w:t>
            </w:r>
          </w:p>
        </w:tc>
        <w:tc>
          <w:tcPr>
            <w:tcW w:w="99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pBdr>
                <w:top w:val="double" w:sz="6" w:space="1" w:color="000000"/>
              </w:pBdr>
              <w:bidi w:val="0"/>
              <w:spacing w:before="0" w:after="0"/>
              <w:jc w:val="left"/>
            </w:pPr>
            <w:r>
              <w:t> </w:t>
            </w:r>
          </w:p>
        </w:tc>
        <w:tc>
          <w:tcPr>
            <w:tcW w:w="1298"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0" w:type="dxa"/>
            <w:tcBorders/>
            <w:vAlign w:val="bottom"/>
          </w:tcPr>
          <w:p>
            <w:pPr>
              <w:pStyle w:val="TableContents"/>
              <w:pBdr>
                <w:top w:val="double" w:sz="6" w:space="1" w:color="000000"/>
              </w:pBdr>
              <w:bidi w:val="0"/>
              <w:spacing w:before="0" w:after="0"/>
              <w:jc w:val="left"/>
            </w:pPr>
            <w:r>
              <w:t> </w:t>
            </w:r>
          </w:p>
        </w:tc>
        <w:tc>
          <w:tcPr>
            <w:tcW w:w="117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1" w:type="dxa"/>
            <w:tcBorders/>
            <w:vAlign w:val="bottom"/>
          </w:tcPr>
          <w:p>
            <w:pPr>
              <w:pStyle w:val="TableContents"/>
              <w:pBdr>
                <w:top w:val="double" w:sz="6" w:space="1" w:color="000000"/>
              </w:pBdr>
              <w:bidi w:val="0"/>
              <w:spacing w:before="0" w:after="0"/>
              <w:jc w:val="left"/>
            </w:pPr>
            <w:r>
              <w:t> </w:t>
            </w:r>
          </w:p>
        </w:tc>
        <w:tc>
          <w:tcPr>
            <w:tcW w:w="1144"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p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Net Income Attributable to Melco Resorts &amp; Entertainment Limited to </w:t>
      </w:r>
    </w:p>
    <w:p>
      <w:pPr>
        <w:pStyle w:val="TextBody"/>
        <w:bidi w:val="0"/>
        <w:spacing w:before="0" w:after="0"/>
        <w:jc w:val="center"/>
        <w:rPr>
          <w:rFonts w:ascii="Times New Roman" w:hAnsi="Times New Roman"/>
          <w:b/>
          <w:sz w:val="20"/>
        </w:rPr>
      </w:pPr>
      <w:r>
        <w:rPr>
          <w:rFonts w:ascii="Times New Roman" w:hAnsi="Times New Roman"/>
          <w:b/>
          <w:sz w:val="20"/>
        </w:rPr>
        <w:t xml:space="preserve">Adjusted EBITDA and Adjusted Property EBITDA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4226"/>
        <w:gridCol w:w="131"/>
        <w:gridCol w:w="140"/>
        <w:gridCol w:w="1095"/>
        <w:gridCol w:w="156"/>
        <w:gridCol w:w="89"/>
        <w:gridCol w:w="140"/>
        <w:gridCol w:w="1095"/>
        <w:gridCol w:w="156"/>
        <w:gridCol w:w="89"/>
        <w:gridCol w:w="140"/>
        <w:gridCol w:w="1095"/>
        <w:gridCol w:w="155"/>
        <w:gridCol w:w="89"/>
        <w:gridCol w:w="140"/>
        <w:gridCol w:w="1106"/>
        <w:gridCol w:w="163"/>
      </w:tblGrid>
      <w:tr>
        <w:tc>
          <w:tcPr>
            <w:tcW w:w="4226"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4226" w:type="dxa"/>
            <w:tcBorders/>
            <w:vAlign w:val="bottom"/>
          </w:tcPr>
          <w:p>
            <w:pPr>
              <w:pStyle w:val="TableContents"/>
              <w:bidi w:val="0"/>
              <w:spacing w:before="0" w:after="283"/>
              <w:jc w:val="left"/>
            </w:pPr>
            <w:r>
              <w:t> </w:t>
            </w:r>
          </w:p>
        </w:tc>
        <w:tc>
          <w:tcPr>
            <w:tcW w:w="131" w:type="dxa"/>
            <w:tcBorders/>
            <w:vAlign w:val="bottom"/>
          </w:tcPr>
          <w:p>
            <w:pPr>
              <w:pStyle w:val="TableContents"/>
              <w:bidi w:val="0"/>
              <w:spacing w:before="0" w:after="283"/>
              <w:jc w:val="left"/>
            </w:pPr>
            <w:r>
              <w:t>  </w:t>
            </w:r>
          </w:p>
        </w:tc>
        <w:tc>
          <w:tcPr>
            <w:tcW w:w="2715" w:type="dxa"/>
            <w:gridSpan w:val="6"/>
            <w:tcBorders/>
            <w:vAlign w:val="bottom"/>
          </w:tcPr>
          <w:p>
            <w:pPr>
              <w:pStyle w:val="TableContents"/>
              <w:bidi w:val="0"/>
              <w:spacing w:before="0" w:after="283"/>
              <w:jc w:val="center"/>
              <w:rPr>
                <w:b/>
              </w:rPr>
            </w:pPr>
            <w:r>
              <w:rPr>
                <w:b/>
              </w:rPr>
              <w:t>Three Months Ended</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2725" w:type="dxa"/>
            <w:gridSpan w:val="6"/>
            <w:tcBorders/>
            <w:vAlign w:val="bottom"/>
          </w:tcPr>
          <w:p>
            <w:pPr>
              <w:pStyle w:val="TableContents"/>
              <w:bidi w:val="0"/>
              <w:spacing w:before="0" w:after="283"/>
              <w:jc w:val="center"/>
              <w:rPr>
                <w:b/>
              </w:rPr>
            </w:pPr>
            <w:r>
              <w:rPr>
                <w:b/>
              </w:rPr>
              <w:t>Nine Months Ended</w:t>
            </w:r>
          </w:p>
        </w:tc>
        <w:tc>
          <w:tcPr>
            <w:tcW w:w="163" w:type="dxa"/>
            <w:tcBorders/>
            <w:vAlign w:val="bottom"/>
          </w:tcPr>
          <w:p>
            <w:pPr>
              <w:pStyle w:val="TableContents"/>
              <w:bidi w:val="0"/>
              <w:spacing w:before="0" w:after="283"/>
              <w:jc w:val="left"/>
            </w:pPr>
            <w:r>
              <w:t> </w:t>
            </w:r>
          </w:p>
        </w:tc>
      </w:tr>
      <w:tr>
        <w:tc>
          <w:tcPr>
            <w:tcW w:w="4226" w:type="dxa"/>
            <w:tcBorders/>
            <w:vAlign w:val="bottom"/>
          </w:tcPr>
          <w:p>
            <w:pPr>
              <w:pStyle w:val="TableContents"/>
              <w:bidi w:val="0"/>
              <w:spacing w:before="0" w:after="283"/>
              <w:jc w:val="left"/>
            </w:pPr>
            <w:r>
              <w:t> </w:t>
            </w:r>
          </w:p>
        </w:tc>
        <w:tc>
          <w:tcPr>
            <w:tcW w:w="131" w:type="dxa"/>
            <w:tcBorders/>
            <w:vAlign w:val="bottom"/>
          </w:tcPr>
          <w:p>
            <w:pPr>
              <w:pStyle w:val="TableContents"/>
              <w:bidi w:val="0"/>
              <w:spacing w:before="0" w:after="283"/>
              <w:jc w:val="left"/>
            </w:pPr>
            <w:r>
              <w:t>  </w:t>
            </w:r>
          </w:p>
        </w:tc>
        <w:tc>
          <w:tcPr>
            <w:tcW w:w="2715" w:type="dxa"/>
            <w:gridSpan w:val="6"/>
            <w:tcBorders/>
            <w:vAlign w:val="bottom"/>
          </w:tcPr>
          <w:p>
            <w:pPr>
              <w:pStyle w:val="TableContents"/>
              <w:bidi w:val="0"/>
              <w:spacing w:before="0" w:after="283"/>
              <w:jc w:val="center"/>
              <w:rPr>
                <w:b/>
              </w:rPr>
            </w:pPr>
            <w:r>
              <w:rPr>
                <w:b/>
              </w:rPr>
              <w:t>September 30,</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2725" w:type="dxa"/>
            <w:gridSpan w:val="6"/>
            <w:tcBorders/>
            <w:vAlign w:val="bottom"/>
          </w:tcPr>
          <w:p>
            <w:pPr>
              <w:pStyle w:val="TableContents"/>
              <w:bidi w:val="0"/>
              <w:spacing w:before="0" w:after="283"/>
              <w:jc w:val="center"/>
              <w:rPr>
                <w:b/>
              </w:rPr>
            </w:pPr>
            <w:r>
              <w:rPr>
                <w:b/>
              </w:rPr>
              <w:t>September 30,</w:t>
            </w:r>
          </w:p>
        </w:tc>
        <w:tc>
          <w:tcPr>
            <w:tcW w:w="163" w:type="dxa"/>
            <w:tcBorders/>
            <w:vAlign w:val="bottom"/>
          </w:tcPr>
          <w:p>
            <w:pPr>
              <w:pStyle w:val="TableContents"/>
              <w:bidi w:val="0"/>
              <w:spacing w:before="0" w:after="283"/>
              <w:jc w:val="left"/>
            </w:pPr>
            <w:r>
              <w:t> </w:t>
            </w:r>
          </w:p>
        </w:tc>
      </w:tr>
      <w:tr>
        <w:tc>
          <w:tcPr>
            <w:tcW w:w="4226" w:type="dxa"/>
            <w:tcBorders/>
            <w:vAlign w:val="bottom"/>
          </w:tcPr>
          <w:p>
            <w:pPr>
              <w:pStyle w:val="TableContents"/>
              <w:bidi w:val="0"/>
              <w:spacing w:before="0" w:after="283"/>
              <w:jc w:val="left"/>
            </w:pPr>
            <w:r>
              <w:t> </w:t>
            </w:r>
          </w:p>
        </w:tc>
        <w:tc>
          <w:tcPr>
            <w:tcW w:w="131" w:type="dxa"/>
            <w:tcBorders/>
            <w:vAlign w:val="bottom"/>
          </w:tcPr>
          <w:p>
            <w:pPr>
              <w:pStyle w:val="TableContents"/>
              <w:bidi w:val="0"/>
              <w:spacing w:before="0" w:after="283"/>
              <w:jc w:val="left"/>
            </w:pPr>
            <w: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pPr>
            <w:r>
              <w:t> </w:t>
            </w:r>
          </w:p>
        </w:tc>
      </w:tr>
      <w:t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Melco Resorts &amp; Entertainment Limited</w:t>
            </w:r>
          </w:p>
        </w:tc>
        <w:tc>
          <w:tcPr>
            <w:tcW w:w="13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095" w:type="dxa"/>
            <w:tcBorders/>
            <w:shd w:fill="CCEEFF" w:val="clear"/>
            <w:vAlign w:val="bottom"/>
          </w:tcPr>
          <w:p>
            <w:pPr>
              <w:pStyle w:val="TableContents"/>
              <w:bidi w:val="0"/>
              <w:spacing w:before="0" w:after="283"/>
              <w:jc w:val="right"/>
            </w:pPr>
            <w:r>
              <w:t>34</w:t>
            </w:r>
          </w:p>
        </w:tc>
        <w:tc>
          <w:tcPr>
            <w:tcW w:w="156"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095" w:type="dxa"/>
            <w:tcBorders/>
            <w:shd w:fill="CCEEFF" w:val="clear"/>
            <w:vAlign w:val="bottom"/>
          </w:tcPr>
          <w:p>
            <w:pPr>
              <w:pStyle w:val="TableContents"/>
              <w:bidi w:val="0"/>
              <w:spacing w:before="0" w:after="283"/>
              <w:jc w:val="right"/>
            </w:pPr>
            <w:r>
              <w:t>74,686</w:t>
            </w:r>
          </w:p>
        </w:tc>
        <w:tc>
          <w:tcPr>
            <w:tcW w:w="156"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095" w:type="dxa"/>
            <w:tcBorders/>
            <w:shd w:fill="CCEEFF" w:val="clear"/>
            <w:vAlign w:val="bottom"/>
          </w:tcPr>
          <w:p>
            <w:pPr>
              <w:pStyle w:val="TableContents"/>
              <w:bidi w:val="0"/>
              <w:spacing w:before="0" w:after="283"/>
              <w:jc w:val="right"/>
            </w:pPr>
            <w:r>
              <w:t>99,527</w:t>
            </w:r>
          </w:p>
        </w:tc>
        <w:tc>
          <w:tcPr>
            <w:tcW w:w="155"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106" w:type="dxa"/>
            <w:tcBorders/>
            <w:shd w:fill="CCEEFF" w:val="clear"/>
            <w:vAlign w:val="bottom"/>
          </w:tcPr>
          <w:p>
            <w:pPr>
              <w:pStyle w:val="TableContents"/>
              <w:bidi w:val="0"/>
              <w:spacing w:before="0" w:after="283"/>
              <w:jc w:val="right"/>
            </w:pPr>
            <w:r>
              <w:t>124,410</w:t>
            </w:r>
          </w:p>
        </w:tc>
        <w:tc>
          <w:tcPr>
            <w:tcW w:w="163" w:type="dxa"/>
            <w:tcBorders/>
            <w:shd w:fill="CCEEFF" w:val="clear"/>
            <w:vAlign w:val="bottom"/>
          </w:tcPr>
          <w:p>
            <w:pPr>
              <w:pStyle w:val="TableContents"/>
              <w:bidi w:val="0"/>
              <w:spacing w:before="0" w:after="283"/>
              <w:jc w:val="left"/>
            </w:pPr>
            <w:r>
              <w:t> </w:t>
            </w:r>
          </w:p>
        </w:tc>
      </w:tr>
      <w:tr>
        <w:tc>
          <w:tcPr>
            <w:tcW w:w="4226"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13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(9,135</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(12,626</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(27,198</w:t>
            </w:r>
          </w:p>
        </w:tc>
        <w:tc>
          <w:tcPr>
            <w:tcW w:w="155"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106" w:type="dxa"/>
            <w:tcBorders/>
            <w:vAlign w:val="bottom"/>
          </w:tcPr>
          <w:p>
            <w:pPr>
              <w:pStyle w:val="TableContents"/>
              <w:bidi w:val="0"/>
              <w:spacing w:before="0" w:after="283"/>
              <w:jc w:val="right"/>
            </w:pPr>
            <w:r>
              <w:t>(25,248</w:t>
            </w:r>
          </w:p>
        </w:tc>
        <w:tc>
          <w:tcPr>
            <w:tcW w:w="163" w:type="dxa"/>
            <w:tcBorders/>
            <w:vAlign w:val="bottom"/>
          </w:tcPr>
          <w:p>
            <w:pPr>
              <w:pStyle w:val="TableContents"/>
              <w:bidi w:val="0"/>
              <w:spacing w:before="0" w:after="283"/>
              <w:jc w:val="left"/>
            </w:pPr>
            <w:r>
              <w:t>) </w:t>
            </w:r>
          </w:p>
        </w:tc>
      </w:tr>
      <w:tr>
        <w:tc>
          <w:tcPr>
            <w:tcW w:w="4226"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095"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095"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09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106" w:type="dxa"/>
            <w:tcBorders/>
            <w:vAlign w:val="bottom"/>
          </w:tcPr>
          <w:p>
            <w:pPr>
              <w:pStyle w:val="TableContents"/>
              <w:pBdr>
                <w:top w:val="single" w:sz="2"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13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(9,101</w:t>
            </w:r>
          </w:p>
        </w:tc>
        <w:tc>
          <w:tcPr>
            <w:tcW w:w="156"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62,060</w:t>
            </w:r>
          </w:p>
        </w:tc>
        <w:tc>
          <w:tcPr>
            <w:tcW w:w="156"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72,329</w:t>
            </w:r>
          </w:p>
        </w:tc>
        <w:tc>
          <w:tcPr>
            <w:tcW w:w="155"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106" w:type="dxa"/>
            <w:tcBorders/>
            <w:shd w:fill="CCEEFF" w:val="clear"/>
            <w:vAlign w:val="bottom"/>
          </w:tcPr>
          <w:p>
            <w:pPr>
              <w:pStyle w:val="TableContents"/>
              <w:bidi w:val="0"/>
              <w:spacing w:before="0" w:after="283"/>
              <w:jc w:val="right"/>
            </w:pPr>
            <w:r>
              <w:t>99,162</w:t>
            </w:r>
          </w:p>
        </w:tc>
        <w:tc>
          <w:tcPr>
            <w:tcW w:w="163" w:type="dxa"/>
            <w:tcBorders/>
            <w:shd w:fill="CCEEFF" w:val="clear"/>
            <w:vAlign w:val="bottom"/>
          </w:tcPr>
          <w:p>
            <w:pPr>
              <w:pStyle w:val="TableContents"/>
              <w:bidi w:val="0"/>
              <w:spacing w:before="0" w:after="283"/>
              <w:jc w:val="left"/>
            </w:pPr>
            <w:r>
              <w:t> </w:t>
            </w:r>
          </w:p>
        </w:tc>
      </w:tr>
      <w:tr>
        <w:tc>
          <w:tcPr>
            <w:tcW w:w="422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3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1,655</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845</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16,476</w:t>
            </w:r>
          </w:p>
        </w:tc>
        <w:tc>
          <w:tcPr>
            <w:tcW w:w="155"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106" w:type="dxa"/>
            <w:tcBorders/>
            <w:vAlign w:val="bottom"/>
          </w:tcPr>
          <w:p>
            <w:pPr>
              <w:pStyle w:val="TableContents"/>
              <w:bidi w:val="0"/>
              <w:spacing w:before="0" w:after="283"/>
              <w:jc w:val="right"/>
            </w:pPr>
            <w:r>
              <w:t>17,355</w:t>
            </w:r>
          </w:p>
        </w:tc>
        <w:tc>
          <w:tcPr>
            <w:tcW w:w="163" w:type="dxa"/>
            <w:tcBorders/>
            <w:vAlign w:val="bottom"/>
          </w:tcPr>
          <w:p>
            <w:pPr>
              <w:pStyle w:val="TableContents"/>
              <w:bidi w:val="0"/>
              <w:spacing w:before="0" w:after="283"/>
              <w:jc w:val="left"/>
            </w:pPr>
            <w:r>
              <w:t> </w:t>
            </w:r>
          </w:p>
        </w:tc>
      </w:tr>
      <w:t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non-operating expenses, net</w:t>
            </w:r>
          </w:p>
        </w:tc>
        <w:tc>
          <w:tcPr>
            <w:tcW w:w="13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107,662</w:t>
            </w:r>
          </w:p>
        </w:tc>
        <w:tc>
          <w:tcPr>
            <w:tcW w:w="156"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121,606</w:t>
            </w:r>
          </w:p>
        </w:tc>
        <w:tc>
          <w:tcPr>
            <w:tcW w:w="156"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318,168</w:t>
            </w:r>
          </w:p>
        </w:tc>
        <w:tc>
          <w:tcPr>
            <w:tcW w:w="155"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106" w:type="dxa"/>
            <w:tcBorders/>
            <w:shd w:fill="CCEEFF" w:val="clear"/>
            <w:vAlign w:val="bottom"/>
          </w:tcPr>
          <w:p>
            <w:pPr>
              <w:pStyle w:val="TableContents"/>
              <w:bidi w:val="0"/>
              <w:spacing w:before="0" w:after="283"/>
              <w:jc w:val="right"/>
            </w:pPr>
            <w:r>
              <w:t>337,520</w:t>
            </w:r>
          </w:p>
        </w:tc>
        <w:tc>
          <w:tcPr>
            <w:tcW w:w="163" w:type="dxa"/>
            <w:tcBorders/>
            <w:shd w:fill="CCEEFF" w:val="clear"/>
            <w:vAlign w:val="bottom"/>
          </w:tcPr>
          <w:p>
            <w:pPr>
              <w:pStyle w:val="TableContents"/>
              <w:bidi w:val="0"/>
              <w:spacing w:before="0" w:after="283"/>
              <w:jc w:val="left"/>
            </w:pPr>
            <w:r>
              <w:t> </w:t>
            </w:r>
          </w:p>
        </w:tc>
      </w:tr>
      <w:tr>
        <w:tc>
          <w:tcPr>
            <w:tcW w:w="422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138,309</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138,307</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415,043</w:t>
            </w:r>
          </w:p>
        </w:tc>
        <w:tc>
          <w:tcPr>
            <w:tcW w:w="155"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106" w:type="dxa"/>
            <w:tcBorders/>
            <w:vAlign w:val="bottom"/>
          </w:tcPr>
          <w:p>
            <w:pPr>
              <w:pStyle w:val="TableContents"/>
              <w:bidi w:val="0"/>
              <w:spacing w:before="0" w:after="283"/>
              <w:jc w:val="right"/>
            </w:pPr>
            <w:r>
              <w:t>402,653</w:t>
            </w:r>
          </w:p>
        </w:tc>
        <w:tc>
          <w:tcPr>
            <w:tcW w:w="163" w:type="dxa"/>
            <w:tcBorders/>
            <w:vAlign w:val="bottom"/>
          </w:tcPr>
          <w:p>
            <w:pPr>
              <w:pStyle w:val="TableContents"/>
              <w:bidi w:val="0"/>
              <w:spacing w:before="0" w:after="283"/>
              <w:jc w:val="left"/>
            </w:pPr>
            <w:r>
              <w:t> </w:t>
            </w:r>
          </w:p>
        </w:tc>
      </w:tr>
      <w:t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13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1,902</w:t>
            </w:r>
          </w:p>
        </w:tc>
        <w:tc>
          <w:tcPr>
            <w:tcW w:w="156"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234</w:t>
            </w:r>
          </w:p>
        </w:tc>
        <w:tc>
          <w:tcPr>
            <w:tcW w:w="156"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1,705</w:t>
            </w:r>
          </w:p>
        </w:tc>
        <w:tc>
          <w:tcPr>
            <w:tcW w:w="155"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106" w:type="dxa"/>
            <w:tcBorders/>
            <w:shd w:fill="CCEEFF" w:val="clear"/>
            <w:vAlign w:val="bottom"/>
          </w:tcPr>
          <w:p>
            <w:pPr>
              <w:pStyle w:val="TableContents"/>
              <w:bidi w:val="0"/>
              <w:spacing w:before="0" w:after="283"/>
              <w:jc w:val="right"/>
            </w:pPr>
            <w:r>
              <w:t>47,420</w:t>
            </w:r>
          </w:p>
        </w:tc>
        <w:tc>
          <w:tcPr>
            <w:tcW w:w="163" w:type="dxa"/>
            <w:tcBorders/>
            <w:shd w:fill="CCEEFF" w:val="clear"/>
            <w:vAlign w:val="bottom"/>
          </w:tcPr>
          <w:p>
            <w:pPr>
              <w:pStyle w:val="TableContents"/>
              <w:bidi w:val="0"/>
              <w:spacing w:before="0" w:after="283"/>
              <w:jc w:val="left"/>
            </w:pPr>
            <w:r>
              <w:t> </w:t>
            </w:r>
          </w:p>
        </w:tc>
      </w:tr>
      <w:tr>
        <w:tc>
          <w:tcPr>
            <w:tcW w:w="4226"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3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9,426</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7,724</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23,309</w:t>
            </w:r>
          </w:p>
        </w:tc>
        <w:tc>
          <w:tcPr>
            <w:tcW w:w="155"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106" w:type="dxa"/>
            <w:tcBorders/>
            <w:vAlign w:val="bottom"/>
          </w:tcPr>
          <w:p>
            <w:pPr>
              <w:pStyle w:val="TableContents"/>
              <w:bidi w:val="0"/>
              <w:spacing w:before="0" w:after="283"/>
              <w:jc w:val="right"/>
            </w:pPr>
            <w:r>
              <w:t>22,160</w:t>
            </w:r>
          </w:p>
        </w:tc>
        <w:tc>
          <w:tcPr>
            <w:tcW w:w="163" w:type="dxa"/>
            <w:tcBorders/>
            <w:vAlign w:val="bottom"/>
          </w:tcPr>
          <w:p>
            <w:pPr>
              <w:pStyle w:val="TableContents"/>
              <w:bidi w:val="0"/>
              <w:spacing w:before="0" w:after="283"/>
              <w:jc w:val="left"/>
            </w:pPr>
            <w:r>
              <w:t> </w:t>
            </w:r>
          </w:p>
        </w:tc>
      </w:tr>
      <w:t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13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1,706</w:t>
            </w:r>
          </w:p>
        </w:tc>
        <w:tc>
          <w:tcPr>
            <w:tcW w:w="156"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996</w:t>
            </w:r>
          </w:p>
        </w:tc>
        <w:tc>
          <w:tcPr>
            <w:tcW w:w="156"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4,134</w:t>
            </w:r>
          </w:p>
        </w:tc>
        <w:tc>
          <w:tcPr>
            <w:tcW w:w="155"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106" w:type="dxa"/>
            <w:tcBorders/>
            <w:shd w:fill="CCEEFF" w:val="clear"/>
            <w:vAlign w:val="bottom"/>
          </w:tcPr>
          <w:p>
            <w:pPr>
              <w:pStyle w:val="TableContents"/>
              <w:bidi w:val="0"/>
              <w:spacing w:before="0" w:after="283"/>
              <w:jc w:val="right"/>
            </w:pPr>
            <w:r>
              <w:t>6,266</w:t>
            </w:r>
          </w:p>
        </w:tc>
        <w:tc>
          <w:tcPr>
            <w:tcW w:w="163" w:type="dxa"/>
            <w:tcBorders/>
            <w:shd w:fill="CCEEFF" w:val="clear"/>
            <w:vAlign w:val="bottom"/>
          </w:tcPr>
          <w:p>
            <w:pPr>
              <w:pStyle w:val="TableContents"/>
              <w:bidi w:val="0"/>
              <w:spacing w:before="0" w:after="283"/>
              <w:jc w:val="left"/>
            </w:pPr>
            <w:r>
              <w:t> </w:t>
            </w:r>
          </w:p>
        </w:tc>
      </w:tr>
      <w:tr>
        <w:tc>
          <w:tcPr>
            <w:tcW w:w="4226"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 (6)</w:t>
            </w:r>
          </w:p>
        </w:tc>
        <w:tc>
          <w:tcPr>
            <w:tcW w:w="13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1,676</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6,800</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3,269</w:t>
            </w:r>
          </w:p>
        </w:tc>
        <w:tc>
          <w:tcPr>
            <w:tcW w:w="155"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106" w:type="dxa"/>
            <w:tcBorders/>
            <w:vAlign w:val="bottom"/>
          </w:tcPr>
          <w:p>
            <w:pPr>
              <w:pStyle w:val="TableContents"/>
              <w:bidi w:val="0"/>
              <w:spacing w:before="0" w:after="283"/>
              <w:jc w:val="right"/>
            </w:pPr>
            <w:r>
              <w:t>46,244</w:t>
            </w:r>
          </w:p>
        </w:tc>
        <w:tc>
          <w:tcPr>
            <w:tcW w:w="163" w:type="dxa"/>
            <w:tcBorders/>
            <w:vAlign w:val="bottom"/>
          </w:tcPr>
          <w:p>
            <w:pPr>
              <w:pStyle w:val="TableContents"/>
              <w:bidi w:val="0"/>
              <w:spacing w:before="0" w:after="283"/>
              <w:jc w:val="left"/>
            </w:pPr>
            <w:r>
              <w:t> </w:t>
            </w:r>
          </w:p>
        </w:tc>
      </w:tr>
      <w:t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Integrated resort and casino rent (5)</w:t>
            </w:r>
          </w:p>
        </w:tc>
        <w:tc>
          <w:tcPr>
            <w:tcW w:w="13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3,291</w:t>
            </w:r>
          </w:p>
        </w:tc>
        <w:tc>
          <w:tcPr>
            <w:tcW w:w="156"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3,178</w:t>
            </w:r>
          </w:p>
        </w:tc>
        <w:tc>
          <w:tcPr>
            <w:tcW w:w="156"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9,871</w:t>
            </w:r>
          </w:p>
        </w:tc>
        <w:tc>
          <w:tcPr>
            <w:tcW w:w="155"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106" w:type="dxa"/>
            <w:tcBorders/>
            <w:shd w:fill="CCEEFF" w:val="clear"/>
            <w:vAlign w:val="bottom"/>
          </w:tcPr>
          <w:p>
            <w:pPr>
              <w:pStyle w:val="TableContents"/>
              <w:bidi w:val="0"/>
              <w:spacing w:before="0" w:after="283"/>
              <w:jc w:val="right"/>
            </w:pPr>
            <w:r>
              <w:t>9,559</w:t>
            </w:r>
          </w:p>
        </w:tc>
        <w:tc>
          <w:tcPr>
            <w:tcW w:w="163" w:type="dxa"/>
            <w:tcBorders/>
            <w:shd w:fill="CCEEFF" w:val="clear"/>
            <w:vAlign w:val="bottom"/>
          </w:tcPr>
          <w:p>
            <w:pPr>
              <w:pStyle w:val="TableContents"/>
              <w:bidi w:val="0"/>
              <w:spacing w:before="0" w:after="283"/>
              <w:jc w:val="left"/>
            </w:pPr>
            <w:r>
              <w:t> </w:t>
            </w:r>
          </w:p>
        </w:tc>
      </w:tr>
      <w:tr>
        <w:tc>
          <w:tcPr>
            <w:tcW w:w="4226" w:type="dxa"/>
            <w:tcBorders/>
          </w:tcPr>
          <w:p>
            <w:pPr>
              <w:pStyle w:val="TableContents"/>
              <w:bidi w:val="0"/>
              <w:spacing w:before="0" w:after="0"/>
              <w:jc w:val="left"/>
              <w:rPr>
                <w:rFonts w:ascii="Times New Roman" w:hAnsi="Times New Roman"/>
                <w:sz w:val="20"/>
              </w:rPr>
            </w:pPr>
            <w:r>
              <w:rPr>
                <w:rFonts w:ascii="Times New Roman" w:hAnsi="Times New Roman"/>
                <w:sz w:val="20"/>
              </w:rPr>
              <w:t>Payments to the Philippine Parties</w:t>
            </w:r>
          </w:p>
        </w:tc>
        <w:tc>
          <w:tcPr>
            <w:tcW w:w="13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8,155</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10,213</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24,292</w:t>
            </w:r>
          </w:p>
        </w:tc>
        <w:tc>
          <w:tcPr>
            <w:tcW w:w="155"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106" w:type="dxa"/>
            <w:tcBorders/>
            <w:vAlign w:val="bottom"/>
          </w:tcPr>
          <w:p>
            <w:pPr>
              <w:pStyle w:val="TableContents"/>
              <w:bidi w:val="0"/>
              <w:spacing w:before="0" w:after="283"/>
              <w:jc w:val="right"/>
            </w:pPr>
            <w:r>
              <w:t>28,514</w:t>
            </w:r>
          </w:p>
        </w:tc>
        <w:tc>
          <w:tcPr>
            <w:tcW w:w="163" w:type="dxa"/>
            <w:tcBorders/>
            <w:vAlign w:val="bottom"/>
          </w:tcPr>
          <w:p>
            <w:pPr>
              <w:pStyle w:val="TableContents"/>
              <w:bidi w:val="0"/>
              <w:spacing w:before="0" w:after="283"/>
              <w:jc w:val="left"/>
            </w:pPr>
            <w:r>
              <w:t> </w:t>
            </w:r>
          </w:p>
        </w:tc>
      </w:tr>
      <w:tr>
        <w:tc>
          <w:tcPr>
            <w:tcW w:w="4226"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095"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095"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09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106" w:type="dxa"/>
            <w:tcBorders/>
            <w:vAlign w:val="bottom"/>
          </w:tcPr>
          <w:p>
            <w:pPr>
              <w:pStyle w:val="TableContents"/>
              <w:pBdr>
                <w:top w:val="single" w:sz="2"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3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264,681</w:t>
            </w:r>
          </w:p>
        </w:tc>
        <w:tc>
          <w:tcPr>
            <w:tcW w:w="156"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351,963</w:t>
            </w:r>
          </w:p>
        </w:tc>
        <w:tc>
          <w:tcPr>
            <w:tcW w:w="156"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888,596</w:t>
            </w:r>
          </w:p>
        </w:tc>
        <w:tc>
          <w:tcPr>
            <w:tcW w:w="155"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106" w:type="dxa"/>
            <w:tcBorders/>
            <w:shd w:fill="CCEEFF" w:val="clear"/>
            <w:vAlign w:val="bottom"/>
          </w:tcPr>
          <w:p>
            <w:pPr>
              <w:pStyle w:val="TableContents"/>
              <w:bidi w:val="0"/>
              <w:spacing w:before="0" w:after="283"/>
              <w:jc w:val="right"/>
            </w:pPr>
            <w:r>
              <w:t>1,016,853</w:t>
            </w:r>
          </w:p>
        </w:tc>
        <w:tc>
          <w:tcPr>
            <w:tcW w:w="163" w:type="dxa"/>
            <w:tcBorders/>
            <w:shd w:fill="CCEEFF" w:val="clear"/>
            <w:vAlign w:val="bottom"/>
          </w:tcPr>
          <w:p>
            <w:pPr>
              <w:pStyle w:val="TableContents"/>
              <w:bidi w:val="0"/>
              <w:spacing w:before="0" w:after="283"/>
              <w:jc w:val="left"/>
            </w:pPr>
            <w:r>
              <w:t> </w:t>
            </w:r>
          </w:p>
        </w:tc>
      </w:tr>
      <w:tr>
        <w:tc>
          <w:tcPr>
            <w:tcW w:w="4226" w:type="dxa"/>
            <w:tcBorders/>
          </w:tcPr>
          <w:p>
            <w:pPr>
              <w:pStyle w:val="TableContents"/>
              <w:bidi w:val="0"/>
              <w:spacing w:before="0" w:after="0"/>
              <w:jc w:val="left"/>
              <w:rPr>
                <w:rFonts w:ascii="Times New Roman" w:hAnsi="Times New Roman"/>
                <w:sz w:val="20"/>
              </w:rPr>
            </w:pPr>
            <w:r>
              <w:rPr>
                <w:rFonts w:ascii="Times New Roman" w:hAnsi="Times New Roman"/>
                <w:sz w:val="20"/>
              </w:rPr>
              <w:t>Corporate and Other expenses (4)</w:t>
            </w:r>
          </w:p>
        </w:tc>
        <w:tc>
          <w:tcPr>
            <w:tcW w:w="13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22,869</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28,460</w:t>
            </w:r>
          </w:p>
        </w:tc>
        <w:tc>
          <w:tcPr>
            <w:tcW w:w="156"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83,761</w:t>
            </w:r>
          </w:p>
        </w:tc>
        <w:tc>
          <w:tcPr>
            <w:tcW w:w="155" w:type="dxa"/>
            <w:tcBorders/>
            <w:vAlign w:val="bottom"/>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106" w:type="dxa"/>
            <w:tcBorders/>
            <w:vAlign w:val="bottom"/>
          </w:tcPr>
          <w:p>
            <w:pPr>
              <w:pStyle w:val="TableContents"/>
              <w:bidi w:val="0"/>
              <w:spacing w:before="0" w:after="283"/>
              <w:jc w:val="right"/>
            </w:pPr>
            <w:r>
              <w:t>82,248</w:t>
            </w:r>
          </w:p>
        </w:tc>
        <w:tc>
          <w:tcPr>
            <w:tcW w:w="163" w:type="dxa"/>
            <w:tcBorders/>
            <w:vAlign w:val="bottom"/>
          </w:tcPr>
          <w:p>
            <w:pPr>
              <w:pStyle w:val="TableContents"/>
              <w:bidi w:val="0"/>
              <w:spacing w:before="0" w:after="283"/>
              <w:jc w:val="left"/>
            </w:pPr>
            <w:r>
              <w:t> </w:t>
            </w:r>
          </w:p>
        </w:tc>
      </w:tr>
      <w:tr>
        <w:tc>
          <w:tcPr>
            <w:tcW w:w="4226"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095"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095"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09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106" w:type="dxa"/>
            <w:tcBorders/>
            <w:vAlign w:val="bottom"/>
          </w:tcPr>
          <w:p>
            <w:pPr>
              <w:pStyle w:val="TableContents"/>
              <w:pBdr>
                <w:top w:val="single" w:sz="2"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42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Property EBITDA</w:t>
            </w:r>
          </w:p>
        </w:tc>
        <w:tc>
          <w:tcPr>
            <w:tcW w:w="13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095" w:type="dxa"/>
            <w:tcBorders/>
            <w:shd w:fill="CCEEFF" w:val="clear"/>
            <w:vAlign w:val="bottom"/>
          </w:tcPr>
          <w:p>
            <w:pPr>
              <w:pStyle w:val="TableContents"/>
              <w:bidi w:val="0"/>
              <w:spacing w:before="0" w:after="283"/>
              <w:jc w:val="right"/>
            </w:pPr>
            <w:r>
              <w:t>   </w:t>
            </w:r>
            <w:r>
              <w:t>287,550</w:t>
            </w:r>
          </w:p>
        </w:tc>
        <w:tc>
          <w:tcPr>
            <w:tcW w:w="156"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095" w:type="dxa"/>
            <w:tcBorders/>
            <w:shd w:fill="CCEEFF" w:val="clear"/>
            <w:vAlign w:val="bottom"/>
          </w:tcPr>
          <w:p>
            <w:pPr>
              <w:pStyle w:val="TableContents"/>
              <w:bidi w:val="0"/>
              <w:spacing w:before="0" w:after="283"/>
              <w:jc w:val="right"/>
            </w:pPr>
            <w:r>
              <w:t>   </w:t>
            </w:r>
            <w:r>
              <w:t>380,423</w:t>
            </w:r>
          </w:p>
        </w:tc>
        <w:tc>
          <w:tcPr>
            <w:tcW w:w="156"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095" w:type="dxa"/>
            <w:tcBorders/>
            <w:shd w:fill="CCEEFF" w:val="clear"/>
            <w:vAlign w:val="bottom"/>
          </w:tcPr>
          <w:p>
            <w:pPr>
              <w:pStyle w:val="TableContents"/>
              <w:bidi w:val="0"/>
              <w:spacing w:before="0" w:after="283"/>
              <w:jc w:val="right"/>
            </w:pPr>
            <w:r>
              <w:t>   </w:t>
            </w:r>
            <w:r>
              <w:t>972,357</w:t>
            </w:r>
          </w:p>
        </w:tc>
        <w:tc>
          <w:tcPr>
            <w:tcW w:w="155" w:type="dxa"/>
            <w:tcBorders/>
            <w:shd w:fill="CCEEFF" w:val="clear"/>
            <w:vAlign w:val="bottom"/>
          </w:tcPr>
          <w:p>
            <w:pPr>
              <w:pStyle w:val="TableContents"/>
              <w:bidi w:val="0"/>
              <w:spacing w:before="0" w:after="283"/>
              <w:jc w:val="left"/>
            </w:pPr>
            <w:r>
              <w:t> </w:t>
            </w:r>
          </w:p>
        </w:tc>
        <w:tc>
          <w:tcPr>
            <w:tcW w:w="89"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106" w:type="dxa"/>
            <w:tcBorders/>
            <w:shd w:fill="CCEEFF" w:val="clear"/>
            <w:vAlign w:val="bottom"/>
          </w:tcPr>
          <w:p>
            <w:pPr>
              <w:pStyle w:val="TableContents"/>
              <w:bidi w:val="0"/>
              <w:spacing w:before="0" w:after="283"/>
              <w:jc w:val="right"/>
            </w:pPr>
            <w:r>
              <w:t> </w:t>
            </w:r>
            <w:r>
              <w:t>1,099,101</w:t>
            </w:r>
          </w:p>
        </w:tc>
        <w:tc>
          <w:tcPr>
            <w:tcW w:w="163" w:type="dxa"/>
            <w:tcBorders/>
            <w:shd w:fill="CCEEFF" w:val="clear"/>
            <w:vAlign w:val="bottom"/>
          </w:tcPr>
          <w:p>
            <w:pPr>
              <w:pStyle w:val="TableContents"/>
              <w:bidi w:val="0"/>
              <w:spacing w:before="0" w:after="283"/>
              <w:jc w:val="left"/>
            </w:pPr>
            <w:r>
              <w:t> </w:t>
            </w:r>
          </w:p>
        </w:tc>
      </w:tr>
      <w:tr>
        <w:tc>
          <w:tcPr>
            <w:tcW w:w="4226"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095" w:type="dxa"/>
            <w:tcBorders/>
            <w:vAlign w:val="bottom"/>
          </w:tcPr>
          <w:p>
            <w:pPr>
              <w:pStyle w:val="TableContents"/>
              <w:pBdr>
                <w:top w:val="double" w:sz="6"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095" w:type="dxa"/>
            <w:tcBorders/>
            <w:vAlign w:val="bottom"/>
          </w:tcPr>
          <w:p>
            <w:pPr>
              <w:pStyle w:val="TableContents"/>
              <w:pBdr>
                <w:top w:val="double" w:sz="6"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09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89"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106" w:type="dxa"/>
            <w:tcBorders/>
            <w:vAlign w:val="bottom"/>
          </w:tcPr>
          <w:p>
            <w:pPr>
              <w:pStyle w:val="TableContents"/>
              <w:pBdr>
                <w:top w:val="double" w:sz="6"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p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Data Schedule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4101"/>
        <w:gridCol w:w="192"/>
        <w:gridCol w:w="140"/>
        <w:gridCol w:w="954"/>
        <w:gridCol w:w="276"/>
        <w:gridCol w:w="142"/>
        <w:gridCol w:w="140"/>
        <w:gridCol w:w="954"/>
        <w:gridCol w:w="276"/>
        <w:gridCol w:w="142"/>
        <w:gridCol w:w="140"/>
        <w:gridCol w:w="954"/>
        <w:gridCol w:w="276"/>
        <w:gridCol w:w="141"/>
        <w:gridCol w:w="140"/>
        <w:gridCol w:w="954"/>
        <w:gridCol w:w="283"/>
      </w:tblGrid>
      <w:tr>
        <w:tc>
          <w:tcPr>
            <w:tcW w:w="4101"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c>
          <w:tcPr>
            <w:tcW w:w="4101" w:type="dxa"/>
            <w:tcBorders/>
            <w:vAlign w:val="bottom"/>
          </w:tcPr>
          <w:p>
            <w:pPr>
              <w:pStyle w:val="TableContents"/>
              <w:bidi w:val="0"/>
              <w:spacing w:before="0" w:after="283"/>
              <w:jc w:val="left"/>
            </w:pPr>
            <w:r>
              <w:t> </w:t>
            </w:r>
          </w:p>
        </w:tc>
        <w:tc>
          <w:tcPr>
            <w:tcW w:w="192" w:type="dxa"/>
            <w:tcBorders/>
            <w:vAlign w:val="bottom"/>
          </w:tcPr>
          <w:p>
            <w:pPr>
              <w:pStyle w:val="TableContents"/>
              <w:bidi w:val="0"/>
              <w:spacing w:before="0" w:after="283"/>
              <w:jc w:val="left"/>
            </w:pPr>
            <w:r>
              <w:t>  </w:t>
            </w:r>
          </w:p>
        </w:tc>
        <w:tc>
          <w:tcPr>
            <w:tcW w:w="2606" w:type="dxa"/>
            <w:gridSpan w:val="6"/>
            <w:tcBorders/>
            <w:vAlign w:val="bottom"/>
          </w:tcPr>
          <w:p>
            <w:pPr>
              <w:pStyle w:val="TableContents"/>
              <w:bidi w:val="0"/>
              <w:spacing w:before="0" w:after="283"/>
              <w:jc w:val="center"/>
              <w:rPr>
                <w:b/>
              </w:rPr>
            </w:pPr>
            <w:r>
              <w:rPr>
                <w:b/>
              </w:rPr>
              <w:t>Three Months Ended</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2605" w:type="dxa"/>
            <w:gridSpan w:val="6"/>
            <w:tcBorders/>
            <w:vAlign w:val="bottom"/>
          </w:tcPr>
          <w:p>
            <w:pPr>
              <w:pStyle w:val="TableContents"/>
              <w:bidi w:val="0"/>
              <w:spacing w:before="0" w:after="283"/>
              <w:jc w:val="center"/>
              <w:rPr>
                <w:b/>
              </w:rPr>
            </w:pPr>
            <w:r>
              <w:rPr>
                <w:b/>
              </w:rPr>
              <w:t>Nine Months Ended</w:t>
            </w:r>
          </w:p>
        </w:tc>
        <w:tc>
          <w:tcPr>
            <w:tcW w:w="283" w:type="dxa"/>
            <w:tcBorders/>
            <w:vAlign w:val="bottom"/>
          </w:tcPr>
          <w:p>
            <w:pPr>
              <w:pStyle w:val="TableContents"/>
              <w:bidi w:val="0"/>
              <w:spacing w:before="0" w:after="283"/>
              <w:jc w:val="left"/>
            </w:pPr>
            <w:r>
              <w:t> </w:t>
            </w:r>
          </w:p>
        </w:tc>
      </w:tr>
      <w:tr>
        <w:tc>
          <w:tcPr>
            <w:tcW w:w="4101" w:type="dxa"/>
            <w:tcBorders/>
            <w:vAlign w:val="bottom"/>
          </w:tcPr>
          <w:p>
            <w:pPr>
              <w:pStyle w:val="TableContents"/>
              <w:bidi w:val="0"/>
              <w:spacing w:before="0" w:after="283"/>
              <w:jc w:val="left"/>
            </w:pPr>
            <w:r>
              <w:t> </w:t>
            </w:r>
          </w:p>
        </w:tc>
        <w:tc>
          <w:tcPr>
            <w:tcW w:w="192" w:type="dxa"/>
            <w:tcBorders/>
            <w:vAlign w:val="bottom"/>
          </w:tcPr>
          <w:p>
            <w:pPr>
              <w:pStyle w:val="TableContents"/>
              <w:bidi w:val="0"/>
              <w:spacing w:before="0" w:after="283"/>
              <w:jc w:val="left"/>
            </w:pPr>
            <w:r>
              <w:t>  </w:t>
            </w:r>
          </w:p>
        </w:tc>
        <w:tc>
          <w:tcPr>
            <w:tcW w:w="2606" w:type="dxa"/>
            <w:gridSpan w:val="6"/>
            <w:tcBorders/>
            <w:vAlign w:val="bottom"/>
          </w:tcPr>
          <w:p>
            <w:pPr>
              <w:pStyle w:val="TableContents"/>
              <w:bidi w:val="0"/>
              <w:spacing w:before="0" w:after="283"/>
              <w:jc w:val="center"/>
              <w:rPr>
                <w:b/>
              </w:rPr>
            </w:pPr>
            <w:r>
              <w:rPr>
                <w:b/>
              </w:rPr>
              <w:t>September 30,</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2605" w:type="dxa"/>
            <w:gridSpan w:val="6"/>
            <w:tcBorders/>
            <w:vAlign w:val="bottom"/>
          </w:tcPr>
          <w:p>
            <w:pPr>
              <w:pStyle w:val="TableContents"/>
              <w:bidi w:val="0"/>
              <w:spacing w:before="0" w:after="283"/>
              <w:jc w:val="center"/>
              <w:rPr>
                <w:b/>
              </w:rPr>
            </w:pPr>
            <w:r>
              <w:rPr>
                <w:b/>
              </w:rPr>
              <w:t>September 30,</w:t>
            </w:r>
          </w:p>
        </w:tc>
        <w:tc>
          <w:tcPr>
            <w:tcW w:w="283" w:type="dxa"/>
            <w:tcBorders/>
            <w:vAlign w:val="bottom"/>
          </w:tcPr>
          <w:p>
            <w:pPr>
              <w:pStyle w:val="TableContents"/>
              <w:bidi w:val="0"/>
              <w:spacing w:before="0" w:after="283"/>
              <w:jc w:val="left"/>
            </w:pPr>
            <w:r>
              <w:t> </w:t>
            </w:r>
          </w:p>
        </w:tc>
      </w:tr>
      <w:tr>
        <w:tc>
          <w:tcPr>
            <w:tcW w:w="4101" w:type="dxa"/>
            <w:tcBorders/>
            <w:vAlign w:val="bottom"/>
          </w:tcPr>
          <w:p>
            <w:pPr>
              <w:pStyle w:val="TableContents"/>
              <w:bidi w:val="0"/>
              <w:spacing w:before="0" w:after="283"/>
              <w:jc w:val="left"/>
            </w:pPr>
            <w:r>
              <w:t> </w:t>
            </w:r>
          </w:p>
        </w:tc>
        <w:tc>
          <w:tcPr>
            <w:tcW w:w="192" w:type="dxa"/>
            <w:tcBorders/>
            <w:vAlign w:val="bottom"/>
          </w:tcPr>
          <w:p>
            <w:pPr>
              <w:pStyle w:val="TableContents"/>
              <w:bidi w:val="0"/>
              <w:spacing w:before="0" w:after="283"/>
              <w:jc w:val="left"/>
            </w:pPr>
            <w: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Room Statistics:</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c>
          <w:tcPr>
            <w:tcW w:w="4101" w:type="dxa"/>
            <w:tcBorders/>
          </w:tcPr>
          <w:p>
            <w:pPr>
              <w:pStyle w:val="TableContents"/>
              <w:bidi w:val="0"/>
              <w:spacing w:before="0" w:after="0"/>
              <w:jc w:val="left"/>
              <w:rPr>
                <w:rFonts w:ascii="Times New Roman" w:hAnsi="Times New Roman"/>
                <w:b/>
                <w:sz w:val="18"/>
              </w:rPr>
            </w:pPr>
            <w:r>
              <w:rPr>
                <w:rFonts w:ascii="Times New Roman" w:hAnsi="Times New Roman"/>
                <w:b/>
                <w:sz w:val="18"/>
              </w:rPr>
              <w:t>City of Dreams</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Average daily rate (7)</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221</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218</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225</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218</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Occupancy per available room</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98</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98</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98</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98</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Revenue per available room (8)</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218</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212</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221</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213</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b/>
                <w:sz w:val="18"/>
              </w:rPr>
            </w:pPr>
            <w:r>
              <w:rPr>
                <w:rFonts w:ascii="Times New Roman" w:hAnsi="Times New Roman"/>
                <w:b/>
                <w:sz w:val="18"/>
              </w:rPr>
              <w:t>Studio City</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Average daily rate (7)</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176</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178</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175</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170</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Occupancy per available room</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97</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97</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97</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98</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Revenue per available room (8)</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171</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174</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170</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166</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b/>
                <w:sz w:val="18"/>
              </w:rPr>
            </w:pPr>
            <w:r>
              <w:rPr>
                <w:rFonts w:ascii="Times New Roman" w:hAnsi="Times New Roman"/>
                <w:b/>
                <w:sz w:val="18"/>
              </w:rPr>
              <w:t>Altira Macau</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Average daily rate (7)</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134</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135</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134</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133</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Occupancy per available room</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100</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96</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99</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97</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Revenue per available room (8)</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134</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130</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132</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129</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b/>
                <w:sz w:val="18"/>
              </w:rPr>
            </w:pPr>
            <w:r>
              <w:rPr>
                <w:rFonts w:ascii="Times New Roman" w:hAnsi="Times New Roman"/>
                <w:b/>
                <w:sz w:val="18"/>
              </w:rPr>
              <w:t>City of Dreams Manila</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Average daily rate (7)</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140</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158</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144</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160</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Occupancy per available room</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96</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90</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96</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93</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Revenue per available room (8)</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134</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142</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138</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150</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b/>
                <w:sz w:val="18"/>
              </w:rPr>
            </w:pPr>
            <w:r>
              <w:rPr>
                <w:rFonts w:ascii="Times New Roman" w:hAnsi="Times New Roman"/>
                <w:b/>
                <w:sz w:val="18"/>
              </w:rPr>
              <w:t>City of Dreams Mediterranean and Other</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Average daily rate (7)</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611</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595</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546</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493</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Occupancy per available room</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83</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72</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65</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64</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Revenue per available room (8)</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509</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425</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354</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315</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b/>
                <w:sz w:val="18"/>
              </w:rPr>
            </w:pPr>
            <w:r>
              <w:rPr>
                <w:rFonts w:ascii="Times New Roman" w:hAnsi="Times New Roman"/>
                <w:b/>
                <w:sz w:val="18"/>
              </w:rPr>
              <w:t>Other Information:</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c>
          <w:tcPr>
            <w:tcW w:w="410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City of Dreams</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Average number of table games</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450</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437</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448</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435</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Average number of gaming machines</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814</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615</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814</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619</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Table games win per unit per day (9)</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 </w:t>
            </w:r>
            <w:r>
              <w:t>14,406</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17,583</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16,531</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18,239</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Gaming machines win per unit per day (10)</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489</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586</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588</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533</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b/>
                <w:sz w:val="18"/>
              </w:rPr>
            </w:pPr>
            <w:r>
              <w:rPr>
                <w:rFonts w:ascii="Times New Roman" w:hAnsi="Times New Roman"/>
                <w:b/>
                <w:sz w:val="18"/>
              </w:rPr>
              <w:t>Studio City</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Average number of table games</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249</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253</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252</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253</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Average number of gaming machines</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953</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726</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951</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749</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Table games win per unit per day (9)</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12,663</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 </w:t>
            </w:r>
            <w:r>
              <w:t>13,572</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 </w:t>
            </w:r>
            <w:r>
              <w:t>13,734</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 </w:t>
            </w:r>
            <w:r>
              <w:t>13,680</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Gaming machines win per unit per day (10)</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351</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484</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417</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485</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Altira Macau</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Average number of table games</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35</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29</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34</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32</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Average number of gaming machines</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282</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148</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284</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138</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Table games win per unit per day (9)</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9,004</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8,188</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9,923</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8,199</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Gaming machines win per unit per day (10)</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258</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274</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278</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275</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b/>
                <w:sz w:val="18"/>
              </w:rPr>
            </w:pPr>
            <w:r>
              <w:rPr>
                <w:rFonts w:ascii="Times New Roman" w:hAnsi="Times New Roman"/>
                <w:b/>
                <w:sz w:val="18"/>
              </w:rPr>
              <w:t>Mocha and Other(3)</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Average number of table games</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- </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15</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- </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15</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Average number of gaming machines</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429</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850</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426</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847</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Table games win per unit per day (9)</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- </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6,884</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- </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6,623</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Gaming machines win per unit per day (10)</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392</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269</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396</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276</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City of Dreams Manila</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Average number of table games</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264</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262</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264</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265</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Average number of gaming machines</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2,275</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2,264</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2,268</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2,265</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Table games win per unit per day (9)</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2,682</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3,089</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2,667</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2,740</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Gaming machines win per unit per day (10)</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232</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241</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237</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238</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b/>
                <w:sz w:val="18"/>
              </w:rPr>
            </w:pPr>
            <w:r>
              <w:rPr>
                <w:rFonts w:ascii="Times New Roman" w:hAnsi="Times New Roman"/>
                <w:b/>
                <w:sz w:val="18"/>
              </w:rPr>
              <w:t>City of Dreams Mediterranean and Other</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Average number of table games</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108</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106</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108</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54" w:type="dxa"/>
            <w:tcBorders/>
            <w:shd w:fill="CCEEFF" w:val="clear"/>
            <w:vAlign w:val="bottom"/>
          </w:tcPr>
          <w:p>
            <w:pPr>
              <w:pStyle w:val="TableContents"/>
              <w:bidi w:val="0"/>
              <w:spacing w:before="0" w:after="283"/>
              <w:jc w:val="right"/>
            </w:pPr>
            <w:r>
              <w:t>106</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Average number of gaming machines</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971</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888</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950</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54" w:type="dxa"/>
            <w:tcBorders/>
            <w:vAlign w:val="bottom"/>
          </w:tcPr>
          <w:p>
            <w:pPr>
              <w:pStyle w:val="TableContents"/>
              <w:bidi w:val="0"/>
              <w:spacing w:before="0" w:after="283"/>
              <w:jc w:val="right"/>
            </w:pPr>
            <w:r>
              <w:t>886</w:t>
            </w:r>
          </w:p>
        </w:tc>
        <w:tc>
          <w:tcPr>
            <w:tcW w:w="283" w:type="dxa"/>
            <w:tcBorders/>
            <w:vAlign w:val="bottom"/>
          </w:tcPr>
          <w:p>
            <w:pPr>
              <w:pStyle w:val="TableContents"/>
              <w:bidi w:val="0"/>
              <w:spacing w:before="0" w:after="283"/>
              <w:jc w:val="left"/>
            </w:pPr>
            <w:r>
              <w:t> </w:t>
            </w:r>
          </w:p>
        </w:tc>
      </w:tr>
      <w:tr>
        <w:tc>
          <w:tcPr>
            <w:tcW w:w="4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Table games win per unit per day (9)</w:t>
            </w:r>
          </w:p>
        </w:tc>
        <w:tc>
          <w:tcPr>
            <w:tcW w:w="19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4,996</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4,231</w:t>
            </w:r>
          </w:p>
        </w:tc>
        <w:tc>
          <w:tcPr>
            <w:tcW w:w="27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4,140</w:t>
            </w:r>
          </w:p>
        </w:tc>
        <w:tc>
          <w:tcPr>
            <w:tcW w:w="276"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54" w:type="dxa"/>
            <w:tcBorders/>
            <w:shd w:fill="CCEEFF" w:val="clear"/>
            <w:vAlign w:val="bottom"/>
          </w:tcPr>
          <w:p>
            <w:pPr>
              <w:pStyle w:val="TableContents"/>
              <w:bidi w:val="0"/>
              <w:spacing w:before="0" w:after="283"/>
              <w:jc w:val="right"/>
            </w:pPr>
            <w:r>
              <w:t>3,674</w:t>
            </w:r>
          </w:p>
        </w:tc>
        <w:tc>
          <w:tcPr>
            <w:tcW w:w="283" w:type="dxa"/>
            <w:tcBorders/>
            <w:shd w:fill="CCEEFF" w:val="clear"/>
            <w:vAlign w:val="bottom"/>
          </w:tcPr>
          <w:p>
            <w:pPr>
              <w:pStyle w:val="TableContents"/>
              <w:bidi w:val="0"/>
              <w:spacing w:before="0" w:after="283"/>
              <w:jc w:val="left"/>
            </w:pPr>
            <w:r>
              <w:t> </w:t>
            </w:r>
          </w:p>
        </w:tc>
      </w:tr>
      <w:tr>
        <w:tc>
          <w:tcPr>
            <w:tcW w:w="4101" w:type="dxa"/>
            <w:tcBorders/>
          </w:tcPr>
          <w:p>
            <w:pPr>
              <w:pStyle w:val="TableContents"/>
              <w:bidi w:val="0"/>
              <w:spacing w:before="0" w:after="0"/>
              <w:jc w:val="left"/>
              <w:rPr>
                <w:rFonts w:ascii="Times New Roman" w:hAnsi="Times New Roman"/>
                <w:sz w:val="18"/>
              </w:rPr>
            </w:pPr>
            <w:r>
              <w:rPr>
                <w:rFonts w:ascii="Times New Roman" w:hAnsi="Times New Roman"/>
                <w:sz w:val="18"/>
              </w:rPr>
              <w:t>Gaming machines win per unit per day (10)</w:t>
            </w:r>
          </w:p>
        </w:tc>
        <w:tc>
          <w:tcPr>
            <w:tcW w:w="19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429</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446</w:t>
            </w:r>
          </w:p>
        </w:tc>
        <w:tc>
          <w:tcPr>
            <w:tcW w:w="27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413</w:t>
            </w:r>
          </w:p>
        </w:tc>
        <w:tc>
          <w:tcPr>
            <w:tcW w:w="276"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54" w:type="dxa"/>
            <w:tcBorders/>
            <w:vAlign w:val="bottom"/>
          </w:tcPr>
          <w:p>
            <w:pPr>
              <w:pStyle w:val="TableContents"/>
              <w:bidi w:val="0"/>
              <w:spacing w:before="0" w:after="283"/>
              <w:jc w:val="right"/>
            </w:pPr>
            <w:r>
              <w:t>408</w:t>
            </w:r>
          </w:p>
        </w:tc>
        <w:tc>
          <w:tcPr>
            <w:tcW w:w="283" w:type="dxa"/>
            <w:tcBorders/>
            <w:vAlign w:val="bottom"/>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(7)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Average daily rate is calculated by dividing total room revenues including complimentary rooms (less service charges, if any) by total occupied rooms including complimentary rooms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(8)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Revenue per available room is calculated by dividing total room revenues including complimentary rooms (less service charges, if any) by total rooms available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(9)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Table games win per unit per day is shown before discounts, commissions, other incentives and allocating casino revenues related to goods and services provided to gaming patrons on a complimentary basis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(10)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Gaming machines win per unit per day is shown before other incentives and allocating casino revenues related to goods and services provided to gaming patrons on a complimentary basis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6672</Words>
  <Characters>35316</Characters>
  <CharactersWithSpaces>44451</CharactersWithSpaces>
  <Paragraphs>5313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UNAUDITED RESULTS FOR THIRD QUARTER OF 2026</dc:title>
</cp:coreProperties>
</file>