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7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 LAWRENCE YAU LUNG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40"/>
        <w:spacing w:after="0" w:line="365" w:lineRule="auto"/>
        <w:rPr>
          <w:sz w:val="20"/>
          <w:szCs w:val="20"/>
          <w:color w:val="auto"/>
        </w:rPr>
      </w:pPr>
      <w:r>
        <w:rPr>
          <w:rFonts w:ascii="Times New Roman" w:cs="Times New Roman" w:eastAsia="Times New Roman" w:hAnsi="Times New Roman"/>
          <w:sz w:val="17"/>
          <w:szCs w:val="17"/>
          <w:color w:val="0000FF"/>
        </w:rPr>
        <w:t>C/O MELCO RESORTS &amp; ENTERTAINMENT LIMITED 71 ROBINSON ROAD #04-03</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SINGAPORE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U0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068895</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Melco Resorts &amp; Entertainment LTD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16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MLCO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3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3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860" w:type="dxa"/>
            <w:vAlign w:val="bottom"/>
          </w:tcPr>
          <w:p>
            <w:pPr>
              <w:ind w:left="6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226"/>
        </w:trPr>
        <w:tc>
          <w:tcPr>
            <w:tcW w:w="32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05/08/2026</w:t>
            </w:r>
          </w:p>
        </w:tc>
        <w:tc>
          <w:tcPr>
            <w:tcW w:w="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3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97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300" w:type="dxa"/>
            <w:vAlign w:val="bottom"/>
          </w:tcPr>
          <w:p>
            <w:pPr>
              <w:spacing w:after="0"/>
              <w:rPr>
                <w:sz w:val="13"/>
                <w:szCs w:val="13"/>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3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6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Indirect (I)</w:t>
            </w:r>
          </w:p>
        </w:tc>
        <w:tc>
          <w:tcPr>
            <w:tcW w:w="26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6"/>
                <w:szCs w:val="6"/>
                <w:color w:val="auto"/>
              </w:rPr>
            </w:pPr>
          </w:p>
        </w:tc>
        <w:tc>
          <w:tcPr>
            <w:tcW w:w="12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05/08/2026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4,692,735</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25,302,747</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687,360,906</w:t>
            </w:r>
          </w:p>
        </w:tc>
        <w:tc>
          <w:tcPr>
            <w:tcW w:w="66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6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Corporation</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9,934,422</w:t>
            </w:r>
          </w:p>
        </w:tc>
        <w:tc>
          <w:tcPr>
            <w:tcW w:w="660" w:type="dxa"/>
            <w:vAlign w:val="bottom"/>
            <w:tcBorders>
              <w:top w:val="single" w:sz="8" w:color="2C2C2C"/>
            </w:tcBorders>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Corporation</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12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shares granted to the Reporting Person pursuant to the Company's 2021 Share Incentive Plan, which are delivered on vesting of the shares. Of such shares, one-third vest 12 months from the grant date, one-third vest 24 months from the grant date, and one-third vest 36 months from the grant date, conditioned on, inter alia, continued service through the applicable vesting date.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Ordinary shares owned of record by Melco Leisure and Entertainment Group Limited, which is a wholly-owned subsidiary of Melco International Development Limited ("Melco International"). Mr. Ho personally holds 36,606,126 ordinary shares of Melco International. Mr. Ho is deemed to be interested in an aggregate of 1,359,666,283 ordinary shares of Melco International under the Securities and Futures Ordinance of the Laws of Hong Kong, including (i) an aggregate of 884,536,660 ordinary shares of Melco International held by companies owned or controlled by persons and/or trusts associated with Mr. Ho, (ii) an aggregate of 470,917,521 ordinary shares of Melco International held by companies which are controlled by discretionary family trusts in which Mr. Ho is one of the beneficiaries, and (iii) 4,212,102 ordinary shares of Melco International held by his spouse.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Ordinary shares owned of record by Black Spade Capital Limited, which in turn are held by companies owned by a trust associated with Mr. Ho.</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Tim Y. Sung,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59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Ho, Lawrence Yau</w:t>
      </w:r>
      <w:r>
        <w:rPr>
          <w:sz w:val="20"/>
          <w:szCs w:val="20"/>
          <w:color w:val="auto"/>
        </w:rPr>
        <w:tab/>
      </w:r>
      <w:r>
        <w:rPr>
          <w:rFonts w:ascii="Times New Roman" w:cs="Times New Roman" w:eastAsia="Times New Roman" w:hAnsi="Times New Roman"/>
          <w:sz w:val="17"/>
          <w:szCs w:val="17"/>
          <w:color w:val="0000FF"/>
        </w:rPr>
        <w:t>05/12/2026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Lung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324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8709" TargetMode="External"/><Relationship Id="rId14" Type="http://schemas.openxmlformats.org/officeDocument/2006/relationships/hyperlink" Target="http://www.sec.gov/cgi-bin/browse-edgar?action=getcompany&amp;CIK=00013816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2026-05-12T05:24:56Z</dcterms:created>
  <dcterms:modified xsi:type="dcterms:W3CDTF">2026-05-12T05:24:56Z</dcterms:modified>
</cp:coreProperties>
</file>