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204470</wp:posOffset>
            </wp:positionV>
            <wp:extent cx="6771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245745</wp:posOffset>
            </wp:positionV>
            <wp:extent cx="6771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pacing w:after="0" w:line="38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115570</wp:posOffset>
            </wp:positionV>
            <wp:extent cx="1427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143510</wp:posOffset>
            </wp:positionV>
            <wp:extent cx="1427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95" w:lineRule="exact"/>
        <w:rPr>
          <w:sz w:val="24"/>
          <w:szCs w:val="24"/>
          <w:color w:val="auto"/>
        </w:rPr>
      </w:pPr>
    </w:p>
    <w:p>
      <w:pPr>
        <w:ind w:left="5500" w:right="1720" w:hanging="5208"/>
        <w:spacing w:after="0" w:line="311" w:lineRule="auto"/>
        <w:tabs>
          <w:tab w:leader="none" w:pos="7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33" w:lineRule="exact"/>
        <w:rPr>
          <w:sz w:val="24"/>
          <w:szCs w:val="24"/>
          <w:color w:val="auto"/>
        </w:rPr>
      </w:pPr>
    </w:p>
    <w:p>
      <w:pPr>
        <w:ind w:left="720" w:hanging="428"/>
        <w:spacing w:after="0"/>
        <w:tabs>
          <w:tab w:leader="none" w:pos="7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ind w:left="720" w:hanging="428"/>
        <w:spacing w:after="0"/>
        <w:tabs>
          <w:tab w:leader="none" w:pos="7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150495</wp:posOffset>
            </wp:positionV>
            <wp:extent cx="929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720" w:hanging="428"/>
        <w:spacing w:after="0"/>
        <w:tabs>
          <w:tab w:leader="none" w:pos="7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5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109220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6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8"/>
          <w:szCs w:val="38"/>
          <w:b w:val="1"/>
          <w:bCs w:val="1"/>
          <w:color w:val="auto"/>
        </w:rPr>
        <w:t>MELCO RESORTS &amp; ENTERTAINMENT LIMITED</w:t>
      </w:r>
    </w:p>
    <w:p>
      <w:pPr>
        <w:spacing w:after="0" w:line="4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103505</wp:posOffset>
            </wp:positionV>
            <wp:extent cx="142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3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(Jurisdiction of incorporation or organization)</w:t>
      </w:r>
    </w:p>
    <w:p>
      <w:pPr>
        <w:spacing w:after="0" w:line="19"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5"/>
          <w:szCs w:val="15"/>
          <w:b w:val="1"/>
          <w:bCs w:val="1"/>
          <w:color w:val="auto"/>
        </w:rPr>
        <w:t>71 Robinson Road #04-03, Singapore 068895 and 38th Floor, The Centrium, 60 Wyndham Street, Central, Hong Kong</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1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Amy Kuzdowicz, Senior Vice President, Chief Accounting Officer Tel +65 8488 9770 or +852 2598 3600, Fax +852 2537 3618</w:t>
      </w:r>
    </w:p>
    <w:p>
      <w:pPr>
        <w:jc w:val="center"/>
        <w:ind w:right="-279"/>
        <w:spacing w:after="0" w:line="221" w:lineRule="auto"/>
        <w:rPr>
          <w:sz w:val="20"/>
          <w:szCs w:val="20"/>
          <w:color w:val="auto"/>
        </w:rPr>
      </w:pPr>
      <w:r>
        <w:rPr>
          <w:rFonts w:ascii="Times New Roman" w:cs="Times New Roman" w:eastAsia="Times New Roman" w:hAnsi="Times New Roman"/>
          <w:sz w:val="15"/>
          <w:szCs w:val="15"/>
          <w:b w:val="1"/>
          <w:bCs w:val="1"/>
          <w:color w:val="auto"/>
        </w:rPr>
        <w:t>71 Robinson Road #04-03, Singapore 068895</w:t>
      </w: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(Name, Telephone, E-mail and/or Facsimile number and Address of Company Contact Person)</w:t>
      </w:r>
    </w:p>
    <w:p>
      <w:pPr>
        <w:spacing w:after="0" w:line="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12(b) of the Act:</w:t>
      </w:r>
    </w:p>
    <w:p>
      <w:pPr>
        <w:spacing w:after="0" w:line="50" w:lineRule="exact"/>
        <w:rPr>
          <w:sz w:val="24"/>
          <w:szCs w:val="24"/>
          <w:color w:val="auto"/>
        </w:rPr>
      </w:pPr>
    </w:p>
    <w:tbl>
      <w:tblPr>
        <w:tblLayout w:type="fixed"/>
        <w:tblInd w:w="300" w:type="dxa"/>
        <w:tblCellMar>
          <w:top w:w="0" w:type="dxa"/>
          <w:left w:w="0" w:type="dxa"/>
          <w:bottom w:w="0" w:type="dxa"/>
          <w:right w:w="0" w:type="dxa"/>
        </w:tblCellMar>
      </w:tblPr>
      <w:tr>
        <w:trPr>
          <w:trHeight w:val="189"/>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Trading 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r>
      <w:tr>
        <w:trPr>
          <w:trHeight w:val="131"/>
        </w:trPr>
        <w:tc>
          <w:tcPr>
            <w:tcW w:w="36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8"/>
              </w:rPr>
              <w:t>American depositary shares</w:t>
            </w:r>
          </w:p>
        </w:tc>
        <w:tc>
          <w:tcPr>
            <w:tcW w:w="100" w:type="dxa"/>
            <w:vAlign w:val="bottom"/>
          </w:tcPr>
          <w:p>
            <w:pPr>
              <w:spacing w:after="0"/>
              <w:rPr>
                <w:sz w:val="11"/>
                <w:szCs w:val="11"/>
                <w:color w:val="auto"/>
              </w:rPr>
            </w:pPr>
          </w:p>
        </w:tc>
        <w:tc>
          <w:tcPr>
            <w:tcW w:w="3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8"/>
              </w:rPr>
              <w:t>MLCO</w:t>
            </w:r>
          </w:p>
        </w:tc>
        <w:tc>
          <w:tcPr>
            <w:tcW w:w="100" w:type="dxa"/>
            <w:vAlign w:val="bottom"/>
          </w:tcPr>
          <w:p>
            <w:pPr>
              <w:spacing w:after="0"/>
              <w:rPr>
                <w:sz w:val="11"/>
                <w:szCs w:val="11"/>
                <w:color w:val="auto"/>
              </w:rPr>
            </w:pPr>
          </w:p>
        </w:tc>
        <w:tc>
          <w:tcPr>
            <w:tcW w:w="3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9"/>
              </w:rPr>
              <w:t>The Nasdaq Stock Market LLC</w:t>
            </w:r>
          </w:p>
        </w:tc>
      </w:tr>
      <w:tr>
        <w:trPr>
          <w:trHeight w:val="194"/>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each representing three ordinary shares</w:t>
            </w: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(The Nasdaq Global Select Market)</w:t>
            </w:r>
          </w:p>
        </w:tc>
      </w:tr>
    </w:tbl>
    <w:p>
      <w:pPr>
        <w:spacing w:after="0" w:line="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12(g) of the Act:</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(Title of Class)</w:t>
      </w:r>
    </w:p>
    <w:p>
      <w:pPr>
        <w:spacing w:after="0" w:line="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for which there is a reporting obligation pursuant to Section 15(d) of the Act:</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98425</wp:posOffset>
            </wp:positionV>
            <wp:extent cx="1427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Indicate the number of outstanding shares of each of the issuer’s classes of capital or common stock as of the close of the period covered by the annual report.</w:t>
      </w:r>
    </w:p>
    <w:p>
      <w:pPr>
        <w:spacing w:after="0" w:line="4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color w:val="auto"/>
        </w:rPr>
        <w:t>1,220,376,014 ordinary shares outstanding as of December 31, 2025</w:t>
      </w:r>
    </w:p>
    <w:p>
      <w:pPr>
        <w:spacing w:after="0" w:line="32" w:lineRule="exact"/>
        <w:rPr>
          <w:sz w:val="24"/>
          <w:szCs w:val="24"/>
          <w:color w:val="auto"/>
        </w:rPr>
      </w:pPr>
    </w:p>
    <w:p>
      <w:pPr>
        <w:ind w:left="3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67" w:lineRule="exact"/>
        <w:rPr>
          <w:sz w:val="24"/>
          <w:szCs w:val="24"/>
          <w:color w:val="auto"/>
        </w:rPr>
      </w:pPr>
    </w:p>
    <w:p>
      <w:pPr>
        <w:ind w:left="3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60"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Note – Checking the box above will not relieve any registrant required to file reports pursuant to Section 13 or 15(d) of the Securities Exchange Act of 1934 from their obligations under those Sections.</w:t>
      </w:r>
    </w:p>
    <w:p>
      <w:pPr>
        <w:spacing w:after="0" w:line="45" w:lineRule="exact"/>
        <w:rPr>
          <w:sz w:val="24"/>
          <w:szCs w:val="24"/>
          <w:color w:val="auto"/>
        </w:rPr>
      </w:pPr>
    </w:p>
    <w:p>
      <w:pPr>
        <w:ind w:left="300" w:right="4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 w:lineRule="exact"/>
        <w:rPr>
          <w:sz w:val="24"/>
          <w:szCs w:val="24"/>
          <w:color w:val="auto"/>
        </w:rPr>
      </w:pPr>
    </w:p>
    <w:p>
      <w:pPr>
        <w:ind w:left="300" w:right="2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 w:lineRule="exact"/>
        <w:rPr>
          <w:sz w:val="24"/>
          <w:szCs w:val="24"/>
          <w:color w:val="auto"/>
        </w:rPr>
      </w:pPr>
    </w:p>
    <w:p>
      <w:pPr>
        <w:ind w:left="300"/>
        <w:spacing w:after="0" w:line="266" w:lineRule="auto"/>
        <w:rPr>
          <w:sz w:val="20"/>
          <w:szCs w:val="20"/>
          <w:color w:val="auto"/>
        </w:rPr>
      </w:pPr>
      <w:r>
        <w:rPr>
          <w:rFonts w:ascii="Times New Roman" w:cs="Times New Roman" w:eastAsia="Times New Roman" w:hAnsi="Times New Roman"/>
          <w:sz w:val="12"/>
          <w:szCs w:val="12"/>
          <w:color w:val="auto"/>
        </w:rPr>
        <w:t>I</w:t>
      </w:r>
      <w:r>
        <w:rPr>
          <w:rFonts w:ascii="Times New Roman" w:cs="Times New Roman" w:eastAsia="Times New Roman" w:hAnsi="Times New Roman"/>
          <w:sz w:val="12"/>
          <w:szCs w:val="12"/>
          <w:b w:val="1"/>
          <w:bCs w:val="1"/>
          <w:color w:val="auto"/>
        </w:rPr>
        <w:t>ndicate by check mark whether the registrant is a large accelerated filer, an accelerated filer, a non-accelerated filer, or an emerging growth company. See definition of “large accelerated filer,” “accelerated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filer,” and “emerging growth company” in Rule 12b-2 of the Exchange Act. (Check one):</w:t>
      </w:r>
    </w:p>
    <w:p>
      <w:pPr>
        <w:spacing w:after="0" w:line="9" w:lineRule="exact"/>
        <w:rPr>
          <w:sz w:val="24"/>
          <w:szCs w:val="24"/>
          <w:color w:val="auto"/>
        </w:rPr>
      </w:pPr>
    </w:p>
    <w:p>
      <w:pPr>
        <w:ind w:left="380"/>
        <w:spacing w:after="0" w:line="138" w:lineRule="exact"/>
        <w:tabs>
          <w:tab w:leader="none" w:pos="4160" w:val="left"/>
          <w:tab w:leader="none" w:pos="7680" w:val="left"/>
          <w:tab w:leader="none" w:pos="9260" w:val="left"/>
        </w:tabs>
        <w:rPr>
          <w:sz w:val="20"/>
          <w:szCs w:val="20"/>
          <w:color w:val="auto"/>
        </w:rPr>
      </w:pPr>
      <w:r>
        <w:rPr>
          <w:rFonts w:ascii="Times New Roman" w:cs="Times New Roman" w:eastAsia="Times New Roman" w:hAnsi="Times New Roman"/>
          <w:sz w:val="12"/>
          <w:szCs w:val="12"/>
          <w:b w:val="1"/>
          <w:bCs w:val="1"/>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 xml:space="preserve">Emerging growth company </w:t>
      </w:r>
      <w:r>
        <w:rPr>
          <w:rFonts w:ascii="MS PGothic" w:cs="MS PGothic" w:eastAsia="MS PGothic" w:hAnsi="MS PGothic"/>
          <w:sz w:val="12"/>
          <w:szCs w:val="12"/>
          <w:color w:val="auto"/>
        </w:rPr>
        <w:t>☐</w:t>
      </w:r>
    </w:p>
    <w:p>
      <w:pPr>
        <w:spacing w:after="0" w:line="69" w:lineRule="exact"/>
        <w:rPr>
          <w:sz w:val="24"/>
          <w:szCs w:val="24"/>
          <w:color w:val="auto"/>
        </w:rPr>
      </w:pPr>
    </w:p>
    <w:p>
      <w:pPr>
        <w:ind w:left="300" w:right="40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 The term “new or revised financial accounting standard” refers to any update issued by the Financial Accounting Standards Board to its Accounting Standards Codification after April 5, 2012.</w:t>
      </w:r>
    </w:p>
    <w:p>
      <w:pPr>
        <w:spacing w:after="0" w:line="45" w:lineRule="exact"/>
        <w:rPr>
          <w:sz w:val="24"/>
          <w:szCs w:val="24"/>
          <w:color w:val="auto"/>
        </w:rPr>
      </w:pPr>
    </w:p>
    <w:p>
      <w:pPr>
        <w:ind w:left="300" w:right="40"/>
        <w:spacing w:after="0" w:line="163" w:lineRule="exact"/>
        <w:rPr>
          <w:sz w:val="20"/>
          <w:szCs w:val="20"/>
          <w:color w:val="auto"/>
        </w:rPr>
      </w:pPr>
      <w:r>
        <w:rPr>
          <w:rFonts w:ascii="Times New Roman" w:cs="Times New Roman" w:eastAsia="Times New Roman" w:hAnsi="Times New Roman"/>
          <w:sz w:val="12"/>
          <w:szCs w:val="12"/>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 w:lineRule="exact"/>
        <w:rPr>
          <w:sz w:val="24"/>
          <w:szCs w:val="24"/>
          <w:color w:val="auto"/>
        </w:rPr>
      </w:pPr>
    </w:p>
    <w:p>
      <w:pPr>
        <w:ind w:left="300" w:right="4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2" w:lineRule="exact"/>
        <w:rPr>
          <w:sz w:val="24"/>
          <w:szCs w:val="24"/>
          <w:color w:val="auto"/>
        </w:rPr>
      </w:pPr>
    </w:p>
    <w:p>
      <w:pPr>
        <w:ind w:left="300" w:right="340"/>
        <w:spacing w:after="0" w:line="144"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Indicate by check mark which basis of accounting the registrant has used to prepare the financial statements included in this filing:</w:t>
      </w:r>
    </w:p>
    <w:p>
      <w:pPr>
        <w:spacing w:after="0" w:line="23" w:lineRule="exact"/>
        <w:rPr>
          <w:sz w:val="24"/>
          <w:szCs w:val="24"/>
          <w:color w:val="auto"/>
        </w:rPr>
      </w:pPr>
    </w:p>
    <w:tbl>
      <w:tblPr>
        <w:tblLayout w:type="fixed"/>
        <w:tblInd w:w="300" w:type="dxa"/>
        <w:tblCellMar>
          <w:top w:w="0" w:type="dxa"/>
          <w:left w:w="0" w:type="dxa"/>
          <w:bottom w:w="0" w:type="dxa"/>
          <w:right w:w="0" w:type="dxa"/>
        </w:tblCellMar>
      </w:tblPr>
      <w:tr>
        <w:trPr>
          <w:trHeight w:val="149"/>
        </w:trPr>
        <w:tc>
          <w:tcPr>
            <w:tcW w:w="3100" w:type="dxa"/>
            <w:vAlign w:val="bottom"/>
          </w:tcPr>
          <w:p>
            <w:pPr>
              <w:ind w:left="144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U.S. GAAP </w:t>
            </w:r>
            <w:r>
              <w:rPr>
                <w:rFonts w:ascii="MS PGothic" w:cs="MS PGothic" w:eastAsia="MS PGothic" w:hAnsi="MS PGothic"/>
                <w:sz w:val="12"/>
                <w:szCs w:val="12"/>
                <w:color w:val="auto"/>
              </w:rPr>
              <w:t>☒</w:t>
            </w:r>
          </w:p>
        </w:tc>
        <w:tc>
          <w:tcPr>
            <w:tcW w:w="5080" w:type="dxa"/>
            <w:vAlign w:val="bottom"/>
          </w:tcPr>
          <w:p>
            <w:pPr>
              <w:jc w:val="center"/>
              <w:ind w:right="359"/>
              <w:spacing w:after="0"/>
              <w:rPr>
                <w:sz w:val="20"/>
                <w:szCs w:val="20"/>
                <w:color w:val="auto"/>
              </w:rPr>
            </w:pPr>
            <w:r>
              <w:rPr>
                <w:rFonts w:ascii="Times New Roman" w:cs="Times New Roman" w:eastAsia="Times New Roman" w:hAnsi="Times New Roman"/>
                <w:sz w:val="12"/>
                <w:szCs w:val="12"/>
                <w:b w:val="1"/>
                <w:bCs w:val="1"/>
                <w:color w:val="auto"/>
              </w:rPr>
              <w:t>International Financial Reporting Standards as issued</w:t>
            </w:r>
          </w:p>
        </w:tc>
        <w:tc>
          <w:tcPr>
            <w:tcW w:w="1220" w:type="dxa"/>
            <w:vAlign w:val="bottom"/>
          </w:tcPr>
          <w:p>
            <w:pPr>
              <w:ind w:left="54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Other </w:t>
            </w:r>
            <w:r>
              <w:rPr>
                <w:rFonts w:ascii="MS PGothic" w:cs="MS PGothic" w:eastAsia="MS PGothic" w:hAnsi="MS PGothic"/>
                <w:sz w:val="12"/>
                <w:szCs w:val="12"/>
                <w:color w:val="auto"/>
              </w:rPr>
              <w:t>☐</w:t>
            </w:r>
          </w:p>
        </w:tc>
      </w:tr>
      <w:tr>
        <w:trPr>
          <w:trHeight w:val="205"/>
        </w:trPr>
        <w:tc>
          <w:tcPr>
            <w:tcW w:w="3100" w:type="dxa"/>
            <w:vAlign w:val="bottom"/>
          </w:tcPr>
          <w:p>
            <w:pPr>
              <w:spacing w:after="0"/>
              <w:rPr>
                <w:sz w:val="17"/>
                <w:szCs w:val="17"/>
                <w:color w:val="auto"/>
              </w:rPr>
            </w:pPr>
          </w:p>
        </w:tc>
        <w:tc>
          <w:tcPr>
            <w:tcW w:w="5080" w:type="dxa"/>
            <w:vAlign w:val="bottom"/>
          </w:tcPr>
          <w:p>
            <w:pPr>
              <w:jc w:val="center"/>
              <w:ind w:right="339"/>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by the International Accounting Standards Board </w:t>
            </w:r>
            <w:r>
              <w:rPr>
                <w:rFonts w:ascii="MS PGothic" w:cs="MS PGothic" w:eastAsia="MS PGothic" w:hAnsi="MS PGothic"/>
                <w:sz w:val="12"/>
                <w:szCs w:val="12"/>
                <w:color w:val="auto"/>
              </w:rPr>
              <w:t>☐</w:t>
            </w:r>
          </w:p>
        </w:tc>
        <w:tc>
          <w:tcPr>
            <w:tcW w:w="1220" w:type="dxa"/>
            <w:vAlign w:val="bottom"/>
          </w:tcPr>
          <w:p>
            <w:pPr>
              <w:spacing w:after="0"/>
              <w:rPr>
                <w:sz w:val="17"/>
                <w:szCs w:val="17"/>
                <w:color w:val="auto"/>
              </w:rPr>
            </w:pPr>
          </w:p>
        </w:tc>
      </w:tr>
      <w:tr>
        <w:trPr>
          <w:trHeight w:val="243"/>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If “Other” has been checked in response to the previous question, indicate by check mark which financial statement item the registrant has elected to follow. </w:t>
            </w:r>
          </w:p>
        </w:tc>
        <w:tc>
          <w:tcPr>
            <w:tcW w:w="1220" w:type="dxa"/>
            <w:vAlign w:val="bottom"/>
          </w:tcPr>
          <w:p>
            <w:pPr>
              <w:ind w:left="40"/>
              <w:spacing w:after="0" w:line="138" w:lineRule="exact"/>
              <w:rPr>
                <w:sz w:val="20"/>
                <w:szCs w:val="20"/>
                <w:color w:val="auto"/>
              </w:rPr>
            </w:pPr>
            <w:r>
              <w:rPr>
                <w:rFonts w:ascii="Times New Roman" w:cs="Times New Roman" w:eastAsia="Times New Roman" w:hAnsi="Times New Roman"/>
                <w:sz w:val="12"/>
                <w:szCs w:val="12"/>
                <w:b w:val="1"/>
                <w:bCs w:val="1"/>
                <w:color w:val="auto"/>
                <w:w w:val="99"/>
              </w:rPr>
              <w:t xml:space="preserve">Item 17 </w:t>
            </w:r>
            <w:r>
              <w:rPr>
                <w:rFonts w:ascii="MS PGothic" w:cs="MS PGothic" w:eastAsia="MS PGothic" w:hAnsi="MS PGothic"/>
                <w:sz w:val="12"/>
                <w:szCs w:val="12"/>
                <w:color w:val="auto"/>
                <w:w w:val="99"/>
              </w:rPr>
              <w:t>☐</w:t>
            </w:r>
            <w:r>
              <w:rPr>
                <w:rFonts w:ascii="Times New Roman" w:cs="Times New Roman" w:eastAsia="Times New Roman" w:hAnsi="Times New Roman"/>
                <w:sz w:val="12"/>
                <w:szCs w:val="12"/>
                <w:b w:val="1"/>
                <w:bCs w:val="1"/>
                <w:color w:val="auto"/>
                <w:w w:val="99"/>
              </w:rPr>
              <w:t xml:space="preserve">   Item 18 </w:t>
            </w:r>
            <w:r>
              <w:rPr>
                <w:rFonts w:ascii="MS PGothic" w:cs="MS PGothic" w:eastAsia="MS PGothic" w:hAnsi="MS PGothic"/>
                <w:sz w:val="12"/>
                <w:szCs w:val="12"/>
                <w:color w:val="auto"/>
                <w:w w:val="99"/>
              </w:rPr>
              <w:t>☐</w:t>
            </w:r>
          </w:p>
        </w:tc>
      </w:tr>
      <w:tr>
        <w:trPr>
          <w:trHeight w:val="248"/>
        </w:trPr>
        <w:tc>
          <w:tcPr>
            <w:tcW w:w="818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tc>
        <w:tc>
          <w:tcPr>
            <w:tcW w:w="1220" w:type="dxa"/>
            <w:vAlign w:val="bottom"/>
          </w:tcPr>
          <w:p>
            <w:pPr>
              <w:spacing w:after="0"/>
              <w:rPr>
                <w:sz w:val="21"/>
                <w:szCs w:val="21"/>
                <w:color w:val="auto"/>
              </w:rPr>
            </w:pPr>
          </w:p>
        </w:tc>
      </w:tr>
      <w:tr>
        <w:trPr>
          <w:trHeight w:val="215"/>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(APPLICABLE ONLY TO ISSUERS INVOLVED IN BANKRUPTCY PROCEEDINGS DURING THE PAST FIVE YEARS)</w:t>
            </w:r>
          </w:p>
        </w:tc>
        <w:tc>
          <w:tcPr>
            <w:tcW w:w="1220" w:type="dxa"/>
            <w:vAlign w:val="bottom"/>
          </w:tcPr>
          <w:p>
            <w:pPr>
              <w:spacing w:after="0"/>
              <w:rPr>
                <w:sz w:val="18"/>
                <w:szCs w:val="18"/>
                <w:color w:val="auto"/>
              </w:rPr>
            </w:pPr>
          </w:p>
        </w:tc>
      </w:tr>
    </w:tbl>
    <w:p>
      <w:pPr>
        <w:spacing w:after="0" w:line="75" w:lineRule="exact"/>
        <w:rPr>
          <w:sz w:val="24"/>
          <w:szCs w:val="24"/>
          <w:color w:val="auto"/>
        </w:rPr>
      </w:pPr>
    </w:p>
    <w:p>
      <w:pPr>
        <w:ind w:left="300" w:right="24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47625</wp:posOffset>
            </wp:positionV>
            <wp:extent cx="677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88900</wp:posOffset>
            </wp:positionV>
            <wp:extent cx="6771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ectPr>
          <w:pgSz w:w="11900" w:h="16838" w:orient="portrait"/>
          <w:cols w:equalWidth="0" w:num="1">
            <w:col w:w="10960"/>
          </w:cols>
          <w:pgMar w:left="320" w:top="224" w:right="6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INTRODUCTION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w:t>
            </w:r>
          </w:p>
        </w:tc>
      </w:tr>
      <w:tr>
        <w:trPr>
          <w:trHeight w:val="189"/>
        </w:trPr>
        <w:tc>
          <w:tcPr>
            <w:tcW w:w="130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GLOSSARY</w:t>
            </w:r>
          </w:p>
        </w:tc>
        <w:tc>
          <w:tcPr>
            <w:tcW w:w="8220" w:type="dxa"/>
            <w:vAlign w:val="bottom"/>
            <w:gridSpan w:val="37"/>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w:t>
            </w:r>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5160" w:type="dxa"/>
            <w:vAlign w:val="bottom"/>
            <w:tcBorders>
              <w:bottom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4360" w:type="dxa"/>
            <w:vAlign w:val="bottom"/>
            <w:gridSpan w:val="7"/>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10</w:t>
            </w:r>
          </w:p>
        </w:tc>
      </w:tr>
      <w:tr>
        <w:trPr>
          <w:trHeight w:val="189"/>
        </w:trPr>
        <w:tc>
          <w:tcPr>
            <w:tcW w:w="2680" w:type="dxa"/>
            <w:vAlign w:val="bottom"/>
            <w:tcBorders>
              <w:bottom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7"/>
                <w:szCs w:val="17"/>
                <w:color w:val="0000EE"/>
              </w:rPr>
              <w:t>EXCHANGE RATE INFORMATION</w:t>
            </w:r>
          </w:p>
        </w:tc>
        <w:tc>
          <w:tcPr>
            <w:tcW w:w="6840" w:type="dxa"/>
            <w:vAlign w:val="bottom"/>
            <w:gridSpan w:val="26"/>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52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w w:val="93"/>
              </w:rPr>
              <w:t>PART I</w:t>
            </w:r>
          </w:p>
        </w:tc>
        <w:tc>
          <w:tcPr>
            <w:tcW w:w="9000" w:type="dxa"/>
            <w:vAlign w:val="bottom"/>
            <w:gridSpan w:val="39"/>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6060" w:type="dxa"/>
            <w:vAlign w:val="bottom"/>
            <w:tcBorders>
              <w:bottom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7"/>
                <w:szCs w:val="17"/>
                <w:color w:val="0000EE"/>
              </w:rPr>
              <w:t>ITEM 1. IDENTITY OF DIRECTORS, SENIOR MANAGEMENT AND ADVISERS</w:t>
            </w:r>
          </w:p>
        </w:tc>
        <w:tc>
          <w:tcPr>
            <w:tcW w:w="3460" w:type="dxa"/>
            <w:vAlign w:val="bottom"/>
            <w:gridSpan w:val="3"/>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ITEM 2. OFFER STATISTICS AND EXPECTED TIMETABLE</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2240" w:type="dxa"/>
            <w:vAlign w:val="bottom"/>
            <w:tcBorders>
              <w:top w:val="single" w:sz="8" w:color="0000EE"/>
              <w:bottom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7"/>
                <w:szCs w:val="17"/>
                <w:color w:val="0000EE"/>
              </w:rPr>
              <w:t>ITEM 3. KEY INFORMATION</w:t>
            </w:r>
          </w:p>
        </w:tc>
        <w:tc>
          <w:tcPr>
            <w:tcW w:w="2280" w:type="dxa"/>
            <w:vAlign w:val="bottom"/>
            <w:tcBorders>
              <w:top w:val="single" w:sz="8" w:color="0000EE"/>
            </w:tcBorders>
            <w:gridSpan w:val="18"/>
          </w:tcPr>
          <w:p>
            <w:pPr>
              <w:spacing w:after="0"/>
              <w:rPr>
                <w:sz w:val="16"/>
                <w:szCs w:val="16"/>
                <w:color w:val="auto"/>
              </w:rPr>
            </w:pPr>
          </w:p>
        </w:tc>
        <w:tc>
          <w:tcPr>
            <w:tcW w:w="5000" w:type="dxa"/>
            <w:vAlign w:val="bottom"/>
            <w:gridSpan w:val="12"/>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1220" w:type="dxa"/>
            <w:vAlign w:val="bottom"/>
            <w:tcBorders>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A. [RESERVED]</w:t>
            </w:r>
          </w:p>
        </w:tc>
        <w:tc>
          <w:tcPr>
            <w:tcW w:w="7960" w:type="dxa"/>
            <w:vAlign w:val="bottom"/>
            <w:gridSpan w:val="36"/>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3380" w:type="dxa"/>
            <w:vAlign w:val="bottom"/>
            <w:tcBorders>
              <w:bottom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B. CAPITALIZATION AND INDEBTEDNESS</w:t>
            </w:r>
          </w:p>
        </w:tc>
        <w:tc>
          <w:tcPr>
            <w:tcW w:w="5800" w:type="dxa"/>
            <w:vAlign w:val="bottom"/>
            <w:gridSpan w:val="1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C. REASONS FOR THE OFFER AND USE OF PROCEEDS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340" w:type="dxa"/>
            <w:vAlign w:val="bottom"/>
          </w:tcPr>
          <w:p>
            <w:pPr>
              <w:spacing w:after="0"/>
              <w:rPr>
                <w:sz w:val="16"/>
                <w:szCs w:val="16"/>
                <w:color w:val="auto"/>
              </w:rPr>
            </w:pPr>
          </w:p>
        </w:tc>
        <w:tc>
          <w:tcPr>
            <w:tcW w:w="4340" w:type="dxa"/>
            <w:vAlign w:val="bottom"/>
            <w:tcBorders>
              <w:top w:val="single" w:sz="8" w:color="0000EE"/>
            </w:tcBorders>
            <w:gridSpan w:val="30"/>
          </w:tcPr>
          <w:p>
            <w:pPr>
              <w:spacing w:after="0" w:line="189" w:lineRule="exact"/>
              <w:rPr>
                <w:sz w:val="20"/>
                <w:szCs w:val="20"/>
                <w:color w:val="auto"/>
              </w:rPr>
            </w:pPr>
            <w:r>
              <w:rPr>
                <w:rFonts w:ascii="Times New Roman" w:cs="Times New Roman" w:eastAsia="Times New Roman" w:hAnsi="Times New Roman"/>
                <w:sz w:val="17"/>
                <w:szCs w:val="17"/>
                <w:color w:val="0000EE"/>
              </w:rPr>
              <w:t>D. RISK FACTORS</w:t>
            </w:r>
          </w:p>
        </w:tc>
        <w:tc>
          <w:tcPr>
            <w:tcW w:w="4840" w:type="dxa"/>
            <w:vAlign w:val="bottom"/>
            <w:gridSpan w:val="10"/>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20" w:type="dxa"/>
            <w:vAlign w:val="bottom"/>
            <w:tcBorders>
              <w:bottom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7"/>
                <w:szCs w:val="17"/>
                <w:color w:val="0000EE"/>
              </w:rPr>
              <w:t>ITEM 4. INFORMATION ON THE COMPANY</w:t>
            </w:r>
          </w:p>
        </w:tc>
        <w:tc>
          <w:tcPr>
            <w:tcW w:w="6100" w:type="dxa"/>
            <w:vAlign w:val="bottom"/>
            <w:gridSpan w:val="20"/>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80</w:t>
            </w:r>
          </w:p>
        </w:tc>
      </w:tr>
      <w:tr>
        <w:trPr>
          <w:trHeight w:val="189"/>
        </w:trPr>
        <w:tc>
          <w:tcPr>
            <w:tcW w:w="340" w:type="dxa"/>
            <w:vAlign w:val="bottom"/>
          </w:tcPr>
          <w:p>
            <w:pPr>
              <w:spacing w:after="0"/>
              <w:rPr>
                <w:sz w:val="16"/>
                <w:szCs w:val="16"/>
                <w:color w:val="auto"/>
              </w:rPr>
            </w:pPr>
          </w:p>
        </w:tc>
        <w:tc>
          <w:tcPr>
            <w:tcW w:w="426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A. HISTORY AND DEVELOPMENT OF THE COMPANY</w:t>
            </w:r>
          </w:p>
        </w:tc>
        <w:tc>
          <w:tcPr>
            <w:tcW w:w="4920" w:type="dxa"/>
            <w:vAlign w:val="bottom"/>
            <w:gridSpan w:val="11"/>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80</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B. BUSINESS OVERVIEW</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81</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C. ORGANIZATIONAL STRUCTURE</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125</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200" w:type="dxa"/>
            <w:vAlign w:val="bottom"/>
            <w:tcBorders>
              <w:bottom w:val="single" w:sz="8" w:color="0000EE"/>
            </w:tcBorders>
            <w:gridSpan w:val="23"/>
          </w:tcPr>
          <w:p>
            <w:pPr>
              <w:spacing w:after="0" w:line="189" w:lineRule="exact"/>
              <w:rPr>
                <w:sz w:val="20"/>
                <w:szCs w:val="20"/>
                <w:color w:val="auto"/>
              </w:rPr>
            </w:pPr>
            <w:r>
              <w:rPr>
                <w:rFonts w:ascii="Times New Roman" w:cs="Times New Roman" w:eastAsia="Times New Roman" w:hAnsi="Times New Roman"/>
                <w:sz w:val="17"/>
                <w:szCs w:val="17"/>
                <w:color w:val="0000EE"/>
              </w:rPr>
              <w:t>D. PROPERTY, PLANT AND EQUIPMENT</w:t>
            </w:r>
          </w:p>
        </w:tc>
        <w:tc>
          <w:tcPr>
            <w:tcW w:w="5980" w:type="dxa"/>
            <w:vAlign w:val="bottom"/>
            <w:gridSpan w:val="17"/>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127</w:t>
            </w:r>
          </w:p>
        </w:tc>
      </w:tr>
      <w:tr>
        <w:trPr>
          <w:trHeight w:val="189"/>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ITEM 4A. UNRESOLVED STAFF COMMENTS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127</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ITEM 5. OPERATING AND FINANCIAL REVIEW AND PROSPECTS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127</w:t>
            </w:r>
          </w:p>
        </w:tc>
      </w:tr>
      <w:tr>
        <w:trPr>
          <w:trHeight w:val="189"/>
        </w:trPr>
        <w:tc>
          <w:tcPr>
            <w:tcW w:w="340" w:type="dxa"/>
            <w:vAlign w:val="bottom"/>
            <w:tcBorders>
              <w:top w:val="single" w:sz="8" w:color="0000EE"/>
            </w:tcBorders>
          </w:tcPr>
          <w:p>
            <w:pPr>
              <w:spacing w:after="0"/>
              <w:rPr>
                <w:sz w:val="16"/>
                <w:szCs w:val="16"/>
                <w:color w:val="auto"/>
              </w:rPr>
            </w:pPr>
          </w:p>
        </w:tc>
        <w:tc>
          <w:tcPr>
            <w:tcW w:w="4800" w:type="dxa"/>
            <w:vAlign w:val="bottom"/>
            <w:tcBorders>
              <w:top w:val="single" w:sz="8" w:color="0000EE"/>
            </w:tcBorders>
            <w:gridSpan w:val="32"/>
          </w:tcPr>
          <w:p>
            <w:pPr>
              <w:spacing w:after="0" w:line="189" w:lineRule="exact"/>
              <w:rPr>
                <w:sz w:val="20"/>
                <w:szCs w:val="20"/>
                <w:color w:val="auto"/>
              </w:rPr>
            </w:pPr>
            <w:r>
              <w:rPr>
                <w:rFonts w:ascii="Times New Roman" w:cs="Times New Roman" w:eastAsia="Times New Roman" w:hAnsi="Times New Roman"/>
                <w:sz w:val="17"/>
                <w:szCs w:val="17"/>
                <w:color w:val="0000EE"/>
              </w:rPr>
              <w:t>A. OPERATING RESULTS</w:t>
            </w:r>
          </w:p>
        </w:tc>
        <w:tc>
          <w:tcPr>
            <w:tcW w:w="4380" w:type="dxa"/>
            <w:vAlign w:val="bottom"/>
            <w:gridSpan w:val="8"/>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127</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B. LIQUIDITY AND CAPITAL RESOURCES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140</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C. RESEARCH AND DEVELOPMENT, PATENTS AND LICENSES, ETC.</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147</w:t>
            </w:r>
          </w:p>
        </w:tc>
      </w:tr>
      <w:tr>
        <w:trPr>
          <w:trHeight w:val="189"/>
        </w:trPr>
        <w:tc>
          <w:tcPr>
            <w:tcW w:w="34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7"/>
                <w:szCs w:val="17"/>
                <w:color w:val="0000EE"/>
              </w:rPr>
              <w:t>D. TREND INFORMATION</w:t>
            </w:r>
          </w:p>
        </w:tc>
        <w:tc>
          <w:tcPr>
            <w:tcW w:w="3360" w:type="dxa"/>
            <w:vAlign w:val="bottom"/>
            <w:tcBorders>
              <w:top w:val="single" w:sz="8" w:color="0000EE"/>
            </w:tcBorders>
            <w:gridSpan w:val="23"/>
          </w:tcPr>
          <w:p>
            <w:pPr>
              <w:spacing w:after="0"/>
              <w:rPr>
                <w:sz w:val="16"/>
                <w:szCs w:val="16"/>
                <w:color w:val="auto"/>
              </w:rPr>
            </w:pPr>
          </w:p>
        </w:tc>
        <w:tc>
          <w:tcPr>
            <w:tcW w:w="3780" w:type="dxa"/>
            <w:vAlign w:val="bottom"/>
            <w:gridSpan w:val="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148</w:t>
            </w:r>
          </w:p>
        </w:tc>
      </w:tr>
      <w:tr>
        <w:trPr>
          <w:trHeight w:val="189"/>
        </w:trPr>
        <w:tc>
          <w:tcPr>
            <w:tcW w:w="340" w:type="dxa"/>
            <w:vAlign w:val="bottom"/>
          </w:tcPr>
          <w:p>
            <w:pPr>
              <w:spacing w:after="0"/>
              <w:rPr>
                <w:sz w:val="16"/>
                <w:szCs w:val="16"/>
                <w:color w:val="auto"/>
              </w:rPr>
            </w:pPr>
          </w:p>
        </w:tc>
        <w:tc>
          <w:tcPr>
            <w:tcW w:w="318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E. CRITICAL ACCOUNTING ESTIMATES</w:t>
            </w:r>
          </w:p>
        </w:tc>
        <w:tc>
          <w:tcPr>
            <w:tcW w:w="6000" w:type="dxa"/>
            <w:vAlign w:val="bottom"/>
            <w:gridSpan w:val="18"/>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149</w:t>
            </w:r>
          </w:p>
        </w:tc>
      </w:tr>
      <w:tr>
        <w:trPr>
          <w:trHeight w:val="189"/>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ITEM 6. DIRECTORS, SENIOR MANAGEMENT AND EMPLOYEES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153</w:t>
            </w:r>
          </w:p>
        </w:tc>
      </w:tr>
      <w:tr>
        <w:trPr>
          <w:trHeight w:val="189"/>
        </w:trPr>
        <w:tc>
          <w:tcPr>
            <w:tcW w:w="340" w:type="dxa"/>
            <w:vAlign w:val="bottom"/>
            <w:tcBorders>
              <w:top w:val="single" w:sz="8" w:color="0000EE"/>
            </w:tcBorders>
          </w:tcPr>
          <w:p>
            <w:pPr>
              <w:spacing w:after="0"/>
              <w:rPr>
                <w:sz w:val="16"/>
                <w:szCs w:val="16"/>
                <w:color w:val="auto"/>
              </w:rPr>
            </w:pPr>
          </w:p>
        </w:tc>
        <w:tc>
          <w:tcPr>
            <w:tcW w:w="3580" w:type="dxa"/>
            <w:vAlign w:val="bottom"/>
            <w:tcBorders>
              <w:top w:val="single" w:sz="8" w:color="0000EE"/>
              <w:bottom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A. DIRECTORS AND SENIOR MANAGEMENT</w:t>
            </w:r>
          </w:p>
        </w:tc>
        <w:tc>
          <w:tcPr>
            <w:tcW w:w="1180" w:type="dxa"/>
            <w:vAlign w:val="bottom"/>
            <w:tcBorders>
              <w:top w:val="single" w:sz="8" w:color="0000EE"/>
            </w:tcBorders>
            <w:gridSpan w:val="4"/>
          </w:tcPr>
          <w:p>
            <w:pPr>
              <w:spacing w:after="0"/>
              <w:rPr>
                <w:sz w:val="16"/>
                <w:szCs w:val="16"/>
                <w:color w:val="auto"/>
              </w:rPr>
            </w:pPr>
          </w:p>
        </w:tc>
        <w:tc>
          <w:tcPr>
            <w:tcW w:w="4420" w:type="dxa"/>
            <w:vAlign w:val="bottom"/>
            <w:gridSpan w:val="9"/>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153</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B. COMPENSATION OF DIRECTORS AND EXECUTIVE OFFICERS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158</w:t>
            </w:r>
          </w:p>
        </w:tc>
      </w:tr>
      <w:tr>
        <w:trPr>
          <w:trHeight w:val="189"/>
        </w:trPr>
        <w:tc>
          <w:tcPr>
            <w:tcW w:w="340" w:type="dxa"/>
            <w:vAlign w:val="bottom"/>
          </w:tcPr>
          <w:p>
            <w:pPr>
              <w:spacing w:after="0"/>
              <w:rPr>
                <w:sz w:val="16"/>
                <w:szCs w:val="16"/>
                <w:color w:val="auto"/>
              </w:rPr>
            </w:pPr>
          </w:p>
        </w:tc>
        <w:tc>
          <w:tcPr>
            <w:tcW w:w="1800" w:type="dxa"/>
            <w:vAlign w:val="bottom"/>
            <w:tcBorders>
              <w:top w:val="single" w:sz="8" w:color="0000EE"/>
              <w:bottom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 BOARD PRACTICES</w:t>
            </w:r>
          </w:p>
        </w:tc>
        <w:tc>
          <w:tcPr>
            <w:tcW w:w="3320" w:type="dxa"/>
            <w:vAlign w:val="bottom"/>
            <w:tcBorders>
              <w:top w:val="single" w:sz="8" w:color="0000EE"/>
            </w:tcBorders>
            <w:gridSpan w:val="26"/>
          </w:tcPr>
          <w:p>
            <w:pPr>
              <w:spacing w:after="0"/>
              <w:rPr>
                <w:sz w:val="16"/>
                <w:szCs w:val="16"/>
                <w:color w:val="auto"/>
              </w:rPr>
            </w:pPr>
          </w:p>
        </w:tc>
        <w:tc>
          <w:tcPr>
            <w:tcW w:w="4060" w:type="dxa"/>
            <w:vAlign w:val="bottom"/>
            <w:gridSpan w:val="6"/>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158</w:t>
            </w:r>
          </w:p>
        </w:tc>
      </w:tr>
      <w:tr>
        <w:trPr>
          <w:trHeight w:val="189"/>
        </w:trPr>
        <w:tc>
          <w:tcPr>
            <w:tcW w:w="340" w:type="dxa"/>
            <w:vAlign w:val="bottom"/>
          </w:tcPr>
          <w:p>
            <w:pPr>
              <w:spacing w:after="0"/>
              <w:rPr>
                <w:sz w:val="16"/>
                <w:szCs w:val="16"/>
                <w:color w:val="auto"/>
              </w:rPr>
            </w:pPr>
          </w:p>
        </w:tc>
        <w:tc>
          <w:tcPr>
            <w:tcW w:w="1240" w:type="dxa"/>
            <w:vAlign w:val="bottom"/>
            <w:tcBorders>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D. EMPLOYEES</w:t>
            </w:r>
          </w:p>
        </w:tc>
        <w:tc>
          <w:tcPr>
            <w:tcW w:w="7940" w:type="dxa"/>
            <w:vAlign w:val="bottom"/>
            <w:gridSpan w:val="35"/>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164</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E. SHARE OWNERSHIP</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165</w:t>
            </w:r>
          </w:p>
        </w:tc>
      </w:tr>
      <w:tr>
        <w:trPr>
          <w:trHeight w:val="20"/>
        </w:trPr>
        <w:tc>
          <w:tcPr>
            <w:tcW w:w="3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F. DISCLOSURE OF A REGISTRANT’S ACTION TO RECOVER ERRONEOUSLY AWARDED COMPENSATION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170</w:t>
            </w:r>
          </w:p>
        </w:tc>
      </w:tr>
      <w:tr>
        <w:trPr>
          <w:trHeight w:val="20"/>
        </w:trPr>
        <w:tc>
          <w:tcPr>
            <w:tcW w:w="3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5840" w:type="dxa"/>
            <w:vAlign w:val="bottom"/>
            <w:tcBorders>
              <w:bottom w:val="single" w:sz="8" w:color="0000EE"/>
            </w:tcBorders>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7. MAJOR SHAREHOLDERS AND RELATED PARTY TRANSACTIONS</w:t>
            </w:r>
          </w:p>
        </w:tc>
        <w:tc>
          <w:tcPr>
            <w:tcW w:w="3680" w:type="dxa"/>
            <w:vAlign w:val="bottom"/>
            <w:gridSpan w:val="4"/>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170</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A. MAJOR SHAREHOLDERS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170</w:t>
            </w:r>
          </w:p>
        </w:tc>
      </w:tr>
      <w:tr>
        <w:trPr>
          <w:trHeight w:val="20"/>
        </w:trPr>
        <w:tc>
          <w:tcPr>
            <w:tcW w:w="3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2940" w:type="dxa"/>
            <w:vAlign w:val="bottom"/>
            <w:tcBorders>
              <w:bottom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B. RELATED PARTY TRANSACTIONS</w:t>
            </w:r>
          </w:p>
        </w:tc>
        <w:tc>
          <w:tcPr>
            <w:tcW w:w="6240" w:type="dxa"/>
            <w:vAlign w:val="bottom"/>
            <w:gridSpan w:val="21"/>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171</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C. INTERESTS OF EXPERTS AND COUNSEL</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172</w:t>
            </w:r>
          </w:p>
        </w:tc>
      </w:tr>
      <w:tr>
        <w:trPr>
          <w:trHeight w:val="20"/>
        </w:trPr>
        <w:tc>
          <w:tcPr>
            <w:tcW w:w="3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2820" w:type="dxa"/>
            <w:vAlign w:val="bottom"/>
            <w:tcBorders>
              <w:bottom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7"/>
                <w:szCs w:val="17"/>
                <w:color w:val="0000EE"/>
              </w:rPr>
              <w:t>ITEM 8. FINANCIAL INFORMATION</w:t>
            </w:r>
          </w:p>
        </w:tc>
        <w:tc>
          <w:tcPr>
            <w:tcW w:w="6700" w:type="dxa"/>
            <w:vAlign w:val="bottom"/>
            <w:gridSpan w:val="24"/>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172</w:t>
            </w:r>
          </w:p>
        </w:tc>
      </w:tr>
      <w:tr>
        <w:trPr>
          <w:trHeight w:val="189"/>
        </w:trPr>
        <w:tc>
          <w:tcPr>
            <w:tcW w:w="340" w:type="dxa"/>
            <w:vAlign w:val="bottom"/>
          </w:tcPr>
          <w:p>
            <w:pPr>
              <w:spacing w:after="0"/>
              <w:rPr>
                <w:sz w:val="16"/>
                <w:szCs w:val="16"/>
                <w:color w:val="auto"/>
              </w:rPr>
            </w:pPr>
          </w:p>
        </w:tc>
        <w:tc>
          <w:tcPr>
            <w:tcW w:w="5960" w:type="dxa"/>
            <w:vAlign w:val="bottom"/>
            <w:tcBorders>
              <w:bottom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7"/>
                <w:szCs w:val="17"/>
                <w:color w:val="0000EE"/>
              </w:rPr>
              <w:t>A. CONSOLIDATED STATEMENTS AND OTHER FINANCIAL INFORMATION</w:t>
            </w:r>
          </w:p>
        </w:tc>
        <w:tc>
          <w:tcPr>
            <w:tcW w:w="3220" w:type="dxa"/>
            <w:vAlign w:val="bottom"/>
            <w:gridSpan w:val="2"/>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172</w:t>
            </w:r>
          </w:p>
        </w:tc>
      </w:tr>
      <w:tr>
        <w:trPr>
          <w:trHeight w:val="189"/>
        </w:trPr>
        <w:tc>
          <w:tcPr>
            <w:tcW w:w="340" w:type="dxa"/>
            <w:vAlign w:val="bottom"/>
          </w:tcPr>
          <w:p>
            <w:pPr>
              <w:spacing w:after="0"/>
              <w:rPr>
                <w:sz w:val="16"/>
                <w:szCs w:val="16"/>
                <w:color w:val="auto"/>
              </w:rPr>
            </w:pPr>
          </w:p>
        </w:tc>
        <w:tc>
          <w:tcPr>
            <w:tcW w:w="9180" w:type="dxa"/>
            <w:vAlign w:val="bottom"/>
            <w:gridSpan w:val="40"/>
          </w:tcPr>
          <w:p>
            <w:pPr>
              <w:spacing w:after="0" w:line="189" w:lineRule="exact"/>
              <w:rPr>
                <w:sz w:val="20"/>
                <w:szCs w:val="20"/>
                <w:color w:val="auto"/>
              </w:rPr>
            </w:pPr>
            <w:r>
              <w:rPr>
                <w:rFonts w:ascii="Times New Roman" w:cs="Times New Roman" w:eastAsia="Times New Roman" w:hAnsi="Times New Roman"/>
                <w:sz w:val="17"/>
                <w:szCs w:val="17"/>
                <w:color w:val="0000EE"/>
              </w:rPr>
              <w:t>B. SIGNIFICANT CHANGES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173</w:t>
            </w:r>
          </w:p>
        </w:tc>
      </w:tr>
      <w:tr>
        <w:trPr>
          <w:trHeight w:val="20"/>
        </w:trPr>
        <w:tc>
          <w:tcPr>
            <w:tcW w:w="3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ITEM 9. THE OFFER AND LISTING</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173</w:t>
            </w:r>
          </w:p>
        </w:tc>
      </w:tr>
      <w:tr>
        <w:trPr>
          <w:trHeight w:val="20"/>
        </w:trPr>
        <w:tc>
          <w:tcPr>
            <w:tcW w:w="340" w:type="dxa"/>
            <w:vAlign w:val="bottom"/>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A. OFFERING AND LISTING DETAILS</w:t>
            </w:r>
          </w:p>
        </w:tc>
        <w:tc>
          <w:tcPr>
            <w:tcW w:w="10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B. PLAN OF DISTRIBUTION</w:t>
            </w:r>
          </w:p>
        </w:tc>
        <w:tc>
          <w:tcPr>
            <w:tcW w:w="10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C. MARKETS</w:t>
            </w:r>
          </w:p>
        </w:tc>
        <w:tc>
          <w:tcPr>
            <w:tcW w:w="10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D. SELLING SHAREHOLDERS</w:t>
            </w:r>
          </w:p>
        </w:tc>
        <w:tc>
          <w:tcPr>
            <w:tcW w:w="10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E. DILUTION</w:t>
            </w:r>
          </w:p>
        </w:tc>
        <w:tc>
          <w:tcPr>
            <w:tcW w:w="10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918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F. EXPENSES OF THE ISSUE</w:t>
            </w:r>
          </w:p>
        </w:tc>
        <w:tc>
          <w:tcPr>
            <w:tcW w:w="1080" w:type="dxa"/>
            <w:vAlign w:val="bottom"/>
          </w:tcPr>
          <w:p>
            <w:pPr>
              <w:spacing w:after="0"/>
              <w:rPr>
                <w:sz w:val="18"/>
                <w:szCs w:val="18"/>
                <w:color w:val="auto"/>
              </w:rPr>
            </w:pPr>
          </w:p>
        </w:tc>
      </w:tr>
      <w:tr>
        <w:trPr>
          <w:trHeight w:val="188"/>
        </w:trPr>
        <w:tc>
          <w:tcPr>
            <w:tcW w:w="9520" w:type="dxa"/>
            <w:vAlign w:val="bottom"/>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ITEM 10. ADDITIONAL INFORMATION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173</w:t>
            </w:r>
          </w:p>
        </w:tc>
      </w:tr>
      <w:tr>
        <w:trPr>
          <w:trHeight w:val="189"/>
        </w:trPr>
        <w:tc>
          <w:tcPr>
            <w:tcW w:w="3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7"/>
                <w:szCs w:val="17"/>
                <w:color w:val="0000EE"/>
              </w:rPr>
              <w:t>A. SHARE CAPITAL</w:t>
            </w:r>
          </w:p>
        </w:tc>
        <w:tc>
          <w:tcPr>
            <w:tcW w:w="6480" w:type="dxa"/>
            <w:vAlign w:val="bottom"/>
            <w:gridSpan w:val="23"/>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173</w:t>
            </w:r>
          </w:p>
        </w:tc>
      </w:tr>
      <w:tr>
        <w:trPr>
          <w:trHeight w:val="20"/>
        </w:trPr>
        <w:tc>
          <w:tcPr>
            <w:tcW w:w="3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720" w:type="dxa"/>
            <w:vAlign w:val="bottom"/>
            <w:gridSpan w:val="22"/>
          </w:tcPr>
          <w:p>
            <w:pPr>
              <w:spacing w:after="0" w:line="20" w:lineRule="exact"/>
              <w:rPr>
                <w:sz w:val="1"/>
                <w:szCs w:val="1"/>
                <w:color w:val="auto"/>
              </w:rPr>
            </w:pPr>
          </w:p>
        </w:tc>
        <w:tc>
          <w:tcPr>
            <w:tcW w:w="4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426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B. MEMORANDUM AND ARTICLES OF ASSOCIATION</w:t>
            </w:r>
          </w:p>
        </w:tc>
        <w:tc>
          <w:tcPr>
            <w:tcW w:w="4920" w:type="dxa"/>
            <w:vAlign w:val="bottom"/>
            <w:gridSpan w:val="11"/>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173</w:t>
            </w:r>
          </w:p>
        </w:tc>
      </w:tr>
    </w:tbl>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900"/>
          </w:cols>
          <w:pgMar w:left="320" w:top="472"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C. MATERIAL CONTRACTS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183</w:t>
            </w:r>
          </w:p>
        </w:tc>
      </w:tr>
      <w:tr>
        <w:trPr>
          <w:trHeight w:val="189"/>
        </w:trPr>
        <w:tc>
          <w:tcPr>
            <w:tcW w:w="340" w:type="dxa"/>
            <w:vAlign w:val="bottom"/>
          </w:tcPr>
          <w:p>
            <w:pPr>
              <w:spacing w:after="0"/>
              <w:rPr>
                <w:sz w:val="16"/>
                <w:szCs w:val="16"/>
                <w:color w:val="auto"/>
              </w:rPr>
            </w:pPr>
          </w:p>
        </w:tc>
        <w:tc>
          <w:tcPr>
            <w:tcW w:w="2140" w:type="dxa"/>
            <w:vAlign w:val="bottom"/>
            <w:tcBorders>
              <w:top w:val="single" w:sz="8" w:color="0000EE"/>
              <w:bottom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7"/>
                <w:szCs w:val="17"/>
                <w:color w:val="0000EE"/>
              </w:rPr>
              <w:t>D. EXCHANGE CONTROLS</w:t>
            </w:r>
          </w:p>
        </w:tc>
        <w:tc>
          <w:tcPr>
            <w:tcW w:w="20" w:type="dxa"/>
            <w:vAlign w:val="bottom"/>
            <w:tcBorders>
              <w:top w:val="single" w:sz="8" w:color="0000EE"/>
            </w:tcBorders>
          </w:tcPr>
          <w:p>
            <w:pPr>
              <w:spacing w:after="0"/>
              <w:rPr>
                <w:sz w:val="16"/>
                <w:szCs w:val="16"/>
                <w:color w:val="auto"/>
              </w:rPr>
            </w:pPr>
          </w:p>
        </w:tc>
        <w:tc>
          <w:tcPr>
            <w:tcW w:w="6820" w:type="dxa"/>
            <w:vAlign w:val="bottom"/>
            <w:gridSpan w:val="24"/>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E. TAXATION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184</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294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F. DIVIDENDS AND PAYING AGENTS</w:t>
            </w:r>
          </w:p>
        </w:tc>
        <w:tc>
          <w:tcPr>
            <w:tcW w:w="6040" w:type="dxa"/>
            <w:vAlign w:val="bottom"/>
            <w:gridSpan w:val="14"/>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190</w:t>
            </w: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G. STATEMENT BY EXPERTS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190</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2360" w:type="dxa"/>
            <w:vAlign w:val="bottom"/>
            <w:tcBorders>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H. DOCUMENTS ON DISPLAY</w:t>
            </w:r>
          </w:p>
        </w:tc>
        <w:tc>
          <w:tcPr>
            <w:tcW w:w="6620" w:type="dxa"/>
            <w:vAlign w:val="bottom"/>
            <w:gridSpan w:val="22"/>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190</w:t>
            </w: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I. SUBSIDIARY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8980" w:type="dxa"/>
            <w:vAlign w:val="bottom"/>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J. ANNUAL REPORT TO SECURITY HOLDERS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6660" w:type="dxa"/>
            <w:vAlign w:val="bottom"/>
            <w:tcBorders>
              <w:bottom w:val="single" w:sz="8" w:color="0000EE"/>
            </w:tcBorders>
            <w:gridSpan w:val="32"/>
          </w:tcPr>
          <w:p>
            <w:pPr>
              <w:spacing w:after="0" w:line="189" w:lineRule="exact"/>
              <w:rPr>
                <w:sz w:val="20"/>
                <w:szCs w:val="20"/>
                <w:color w:val="auto"/>
              </w:rPr>
            </w:pPr>
            <w:r>
              <w:rPr>
                <w:rFonts w:ascii="Times New Roman" w:cs="Times New Roman" w:eastAsia="Times New Roman" w:hAnsi="Times New Roman"/>
                <w:sz w:val="17"/>
                <w:szCs w:val="17"/>
                <w:color w:val="0000EE"/>
              </w:rPr>
              <w:t>ITEM 11. QUANTITATIVE AND QUALITATIVE DISCLOSURES ABOUT MARKET RISK</w:t>
            </w:r>
          </w:p>
        </w:tc>
        <w:tc>
          <w:tcPr>
            <w:tcW w:w="2660" w:type="dxa"/>
            <w:vAlign w:val="bottom"/>
            <w:gridSpan w:val="5"/>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191</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w:t>
            </w:r>
          </w:p>
        </w:tc>
      </w:tr>
      <w:tr>
        <w:trPr>
          <w:trHeight w:val="189"/>
        </w:trPr>
        <w:tc>
          <w:tcPr>
            <w:tcW w:w="340" w:type="dxa"/>
            <w:vAlign w:val="bottom"/>
            <w:tcBorders>
              <w:top w:val="single" w:sz="8" w:color="0000EE"/>
            </w:tcBorders>
          </w:tcPr>
          <w:p>
            <w:pPr>
              <w:spacing w:after="0"/>
              <w:rPr>
                <w:sz w:val="16"/>
                <w:szCs w:val="16"/>
                <w:color w:val="auto"/>
              </w:rPr>
            </w:pPr>
          </w:p>
        </w:tc>
        <w:tc>
          <w:tcPr>
            <w:tcW w:w="1700" w:type="dxa"/>
            <w:vAlign w:val="bottom"/>
            <w:tcBorders>
              <w:top w:val="single" w:sz="8" w:color="0000EE"/>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A. DEBT SECURITIES</w:t>
            </w:r>
          </w:p>
        </w:tc>
        <w:tc>
          <w:tcPr>
            <w:tcW w:w="3980" w:type="dxa"/>
            <w:vAlign w:val="bottom"/>
            <w:tcBorders>
              <w:top w:val="single" w:sz="8" w:color="0000EE"/>
            </w:tcBorders>
            <w:gridSpan w:val="23"/>
          </w:tcPr>
          <w:p>
            <w:pPr>
              <w:spacing w:after="0"/>
              <w:rPr>
                <w:sz w:val="16"/>
                <w:szCs w:val="16"/>
                <w:color w:val="auto"/>
              </w:rPr>
            </w:pPr>
          </w:p>
        </w:tc>
        <w:tc>
          <w:tcPr>
            <w:tcW w:w="3300" w:type="dxa"/>
            <w:vAlign w:val="bottom"/>
            <w:gridSpan w:val="6"/>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w:t>
            </w:r>
          </w:p>
        </w:tc>
      </w:tr>
      <w:tr>
        <w:trPr>
          <w:trHeight w:val="189"/>
        </w:trPr>
        <w:tc>
          <w:tcPr>
            <w:tcW w:w="340" w:type="dxa"/>
            <w:vAlign w:val="bottom"/>
          </w:tcPr>
          <w:p>
            <w:pPr>
              <w:spacing w:after="0"/>
              <w:rPr>
                <w:sz w:val="16"/>
                <w:szCs w:val="16"/>
                <w:color w:val="auto"/>
              </w:rPr>
            </w:pPr>
          </w:p>
        </w:tc>
        <w:tc>
          <w:tcPr>
            <w:tcW w:w="2280" w:type="dxa"/>
            <w:vAlign w:val="bottom"/>
            <w:tcBorders>
              <w:bottom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7"/>
                <w:szCs w:val="17"/>
                <w:color w:val="0000EE"/>
              </w:rPr>
              <w:t>B. WARRANTS AND RIGHTS</w:t>
            </w:r>
          </w:p>
        </w:tc>
        <w:tc>
          <w:tcPr>
            <w:tcW w:w="6700" w:type="dxa"/>
            <w:vAlign w:val="bottom"/>
            <w:gridSpan w:val="2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w:t>
            </w:r>
          </w:p>
        </w:tc>
      </w:tr>
      <w:tr>
        <w:trPr>
          <w:trHeight w:val="189"/>
        </w:trPr>
        <w:tc>
          <w:tcPr>
            <w:tcW w:w="340" w:type="dxa"/>
            <w:vAlign w:val="bottom"/>
          </w:tcPr>
          <w:p>
            <w:pPr>
              <w:spacing w:after="0"/>
              <w:rPr>
                <w:sz w:val="16"/>
                <w:szCs w:val="16"/>
                <w:color w:val="auto"/>
              </w:rPr>
            </w:pPr>
          </w:p>
        </w:tc>
        <w:tc>
          <w:tcPr>
            <w:tcW w:w="1820" w:type="dxa"/>
            <w:vAlign w:val="bottom"/>
            <w:tcBorders>
              <w:bottom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 OTHER SECURITIES</w:t>
            </w:r>
          </w:p>
        </w:tc>
        <w:tc>
          <w:tcPr>
            <w:tcW w:w="7160" w:type="dxa"/>
            <w:vAlign w:val="bottom"/>
            <w:gridSpan w:val="28"/>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193</w:t>
            </w:r>
          </w:p>
        </w:tc>
      </w:tr>
      <w:tr>
        <w:trPr>
          <w:trHeight w:val="189"/>
        </w:trPr>
        <w:tc>
          <w:tcPr>
            <w:tcW w:w="340" w:type="dxa"/>
            <w:vAlign w:val="bottom"/>
          </w:tcPr>
          <w:p>
            <w:pPr>
              <w:spacing w:after="0"/>
              <w:rPr>
                <w:sz w:val="16"/>
                <w:szCs w:val="16"/>
                <w:color w:val="auto"/>
              </w:rPr>
            </w:pPr>
          </w:p>
        </w:tc>
        <w:tc>
          <w:tcPr>
            <w:tcW w:w="2960" w:type="dxa"/>
            <w:vAlign w:val="bottom"/>
            <w:tcBorders>
              <w:bottom w:val="single" w:sz="8" w:color="0000EE"/>
            </w:tcBorders>
            <w:gridSpan w:val="23"/>
          </w:tcPr>
          <w:p>
            <w:pPr>
              <w:spacing w:after="0" w:line="189" w:lineRule="exact"/>
              <w:rPr>
                <w:sz w:val="20"/>
                <w:szCs w:val="20"/>
                <w:color w:val="auto"/>
              </w:rPr>
            </w:pPr>
            <w:r>
              <w:rPr>
                <w:rFonts w:ascii="Times New Roman" w:cs="Times New Roman" w:eastAsia="Times New Roman" w:hAnsi="Times New Roman"/>
                <w:sz w:val="17"/>
                <w:szCs w:val="17"/>
                <w:color w:val="0000EE"/>
              </w:rPr>
              <w:t>D. AMERICAN DEPOSITARY SHARES</w:t>
            </w:r>
          </w:p>
        </w:tc>
        <w:tc>
          <w:tcPr>
            <w:tcW w:w="6020" w:type="dxa"/>
            <w:vAlign w:val="bottom"/>
            <w:gridSpan w:val="1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193</w:t>
            </w:r>
          </w:p>
        </w:tc>
      </w:tr>
      <w:tr>
        <w:trPr>
          <w:trHeight w:val="189"/>
        </w:trPr>
        <w:tc>
          <w:tcPr>
            <w:tcW w:w="58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w w:val="94"/>
              </w:rPr>
              <w:t>PART II</w:t>
            </w:r>
          </w:p>
        </w:tc>
        <w:tc>
          <w:tcPr>
            <w:tcW w:w="8740" w:type="dxa"/>
            <w:vAlign w:val="bottom"/>
            <w:gridSpan w:val="35"/>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189"/>
        </w:trPr>
        <w:tc>
          <w:tcPr>
            <w:tcW w:w="5580" w:type="dxa"/>
            <w:vAlign w:val="bottom"/>
            <w:tcBorders>
              <w:bottom w:val="single" w:sz="8" w:color="0000EE"/>
            </w:tcBorders>
            <w:gridSpan w:val="30"/>
          </w:tcPr>
          <w:p>
            <w:pPr>
              <w:spacing w:after="0" w:line="189" w:lineRule="exact"/>
              <w:rPr>
                <w:sz w:val="20"/>
                <w:szCs w:val="20"/>
                <w:color w:val="auto"/>
              </w:rPr>
            </w:pPr>
            <w:r>
              <w:rPr>
                <w:rFonts w:ascii="Times New Roman" w:cs="Times New Roman" w:eastAsia="Times New Roman" w:hAnsi="Times New Roman"/>
                <w:sz w:val="17"/>
                <w:szCs w:val="17"/>
                <w:color w:val="0000EE"/>
              </w:rPr>
              <w:t>ITEM 13. DEFAULTS, DIVIDEND ARREARAGES AND DELINQUENCIES</w:t>
            </w:r>
          </w:p>
        </w:tc>
        <w:tc>
          <w:tcPr>
            <w:tcW w:w="3740" w:type="dxa"/>
            <w:vAlign w:val="bottom"/>
            <w:gridSpan w:val="7"/>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189"/>
        </w:trPr>
        <w:tc>
          <w:tcPr>
            <w:tcW w:w="8340" w:type="dxa"/>
            <w:vAlign w:val="bottom"/>
            <w:tcBorders>
              <w:bottom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7"/>
                <w:szCs w:val="17"/>
                <w:color w:val="0000EE"/>
              </w:rPr>
              <w:t>ITEM 14. MATERIAL MODIFICATIONS TO THE RIGHTS OF SECURITY HOLDERS AND USE OF PROCEEDS</w:t>
            </w:r>
          </w:p>
        </w:tc>
        <w:tc>
          <w:tcPr>
            <w:tcW w:w="9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189"/>
        </w:trPr>
        <w:tc>
          <w:tcPr>
            <w:tcW w:w="324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7"/>
                <w:szCs w:val="17"/>
                <w:color w:val="0000EE"/>
              </w:rPr>
              <w:t>ITEM 15. CONTROLS AND PROCEDURES</w:t>
            </w:r>
          </w:p>
        </w:tc>
        <w:tc>
          <w:tcPr>
            <w:tcW w:w="6080" w:type="dxa"/>
            <w:vAlign w:val="bottom"/>
            <w:gridSpan w:val="15"/>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194</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 [RESERVED]</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195</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16A. AUDIT COMMITTEE FINANCIAL EXPERT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195</w:t>
            </w:r>
          </w:p>
        </w:tc>
      </w:tr>
      <w:tr>
        <w:trPr>
          <w:trHeight w:val="189"/>
        </w:trPr>
        <w:tc>
          <w:tcPr>
            <w:tcW w:w="2240" w:type="dxa"/>
            <w:vAlign w:val="bottom"/>
            <w:tcBorders>
              <w:top w:val="single" w:sz="8" w:color="0000EE"/>
              <w:bottom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7"/>
                <w:szCs w:val="17"/>
                <w:color w:val="0000EE"/>
              </w:rPr>
              <w:t>ITEM 16B. CODE OF ETHICS</w:t>
            </w:r>
          </w:p>
        </w:tc>
        <w:tc>
          <w:tcPr>
            <w:tcW w:w="1900" w:type="dxa"/>
            <w:vAlign w:val="bottom"/>
            <w:tcBorders>
              <w:top w:val="single" w:sz="8" w:color="0000EE"/>
            </w:tcBorders>
            <w:gridSpan w:val="16"/>
          </w:tcPr>
          <w:p>
            <w:pPr>
              <w:spacing w:after="0"/>
              <w:rPr>
                <w:sz w:val="16"/>
                <w:szCs w:val="16"/>
                <w:color w:val="auto"/>
              </w:rPr>
            </w:pPr>
          </w:p>
        </w:tc>
        <w:tc>
          <w:tcPr>
            <w:tcW w:w="5180" w:type="dxa"/>
            <w:vAlign w:val="bottom"/>
            <w:gridSpan w:val="11"/>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195</w:t>
            </w:r>
          </w:p>
        </w:tc>
      </w:tr>
      <w:tr>
        <w:trPr>
          <w:trHeight w:val="189"/>
        </w:trPr>
        <w:tc>
          <w:tcPr>
            <w:tcW w:w="4680" w:type="dxa"/>
            <w:vAlign w:val="bottom"/>
            <w:tcBorders>
              <w:bottom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ITEM 16C. PRINCIPAL ACCOUNTANT FEES AND SERVICES</w:t>
            </w:r>
          </w:p>
        </w:tc>
        <w:tc>
          <w:tcPr>
            <w:tcW w:w="4640" w:type="dxa"/>
            <w:vAlign w:val="bottom"/>
            <w:gridSpan w:val="9"/>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196</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16D. EXEMPTIONS FROM THE LISTING STANDARDS FOR AUDIT COMMITTEES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196</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7760" w:type="dxa"/>
            <w:vAlign w:val="bottom"/>
            <w:tcBorders>
              <w:bottom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7"/>
                <w:szCs w:val="17"/>
                <w:color w:val="0000EE"/>
              </w:rPr>
              <w:t>ITEM 16E. PURCHASES OF EQUITY SECURITIES BY THE ISSUER AND AFFILIATED PURCHASERS</w:t>
            </w:r>
          </w:p>
        </w:tc>
        <w:tc>
          <w:tcPr>
            <w:tcW w:w="1560" w:type="dxa"/>
            <w:vAlign w:val="bottom"/>
            <w:gridSpan w:val="2"/>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197</w:t>
            </w:r>
          </w:p>
        </w:tc>
      </w:tr>
      <w:tr>
        <w:trPr>
          <w:trHeight w:val="189"/>
        </w:trPr>
        <w:tc>
          <w:tcPr>
            <w:tcW w:w="534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ITEM 16F. CHANGE IN REGISTRANT’S CERTIFYING ACCOUNTANT</w:t>
            </w:r>
          </w:p>
        </w:tc>
        <w:tc>
          <w:tcPr>
            <w:tcW w:w="3980" w:type="dxa"/>
            <w:vAlign w:val="bottom"/>
            <w:gridSpan w:val="8"/>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197</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16G. CORPORATE GOVERNANCE</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197</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3140" w:type="dxa"/>
            <w:vAlign w:val="bottom"/>
            <w:tcBorders>
              <w:bottom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7"/>
                <w:szCs w:val="17"/>
                <w:color w:val="0000EE"/>
              </w:rPr>
              <w:t>ITEM 16H. MINE SAFETY DISCLOSURE</w:t>
            </w:r>
          </w:p>
        </w:tc>
        <w:tc>
          <w:tcPr>
            <w:tcW w:w="6180" w:type="dxa"/>
            <w:vAlign w:val="bottom"/>
            <w:gridSpan w:val="16"/>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198</w:t>
            </w:r>
          </w:p>
        </w:tc>
      </w:tr>
      <w:tr>
        <w:trPr>
          <w:trHeight w:val="189"/>
        </w:trPr>
        <w:tc>
          <w:tcPr>
            <w:tcW w:w="7520" w:type="dxa"/>
            <w:vAlign w:val="bottom"/>
            <w:tcBorders>
              <w:bottom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7"/>
                <w:szCs w:val="17"/>
                <w:color w:val="0000EE"/>
              </w:rPr>
              <w:t>ITEM 16I. DISCLOSURE REGARDING FOREIGN JURISDICTIONS THAT PREVENT INSPECTIONS</w:t>
            </w:r>
          </w:p>
        </w:tc>
        <w:tc>
          <w:tcPr>
            <w:tcW w:w="1800" w:type="dxa"/>
            <w:vAlign w:val="bottom"/>
            <w:gridSpan w:val="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198</w:t>
            </w:r>
          </w:p>
        </w:tc>
      </w:tr>
      <w:tr>
        <w:trPr>
          <w:trHeight w:val="189"/>
        </w:trPr>
        <w:tc>
          <w:tcPr>
            <w:tcW w:w="3120" w:type="dxa"/>
            <w:vAlign w:val="bottom"/>
            <w:tcBorders>
              <w:bottom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7"/>
                <w:szCs w:val="17"/>
                <w:color w:val="0000EE"/>
              </w:rPr>
              <w:t>ITEM 16J. INSIDER TRADING POLICIES</w:t>
            </w:r>
          </w:p>
        </w:tc>
        <w:tc>
          <w:tcPr>
            <w:tcW w:w="6200" w:type="dxa"/>
            <w:vAlign w:val="bottom"/>
            <w:gridSpan w:val="17"/>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199</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16K. CYBERSECURITY</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199</w:t>
            </w:r>
          </w:p>
        </w:tc>
      </w:tr>
      <w:tr>
        <w:trPr>
          <w:trHeight w:val="189"/>
        </w:trPr>
        <w:tc>
          <w:tcPr>
            <w:tcW w:w="228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7"/>
                <w:szCs w:val="17"/>
                <w:color w:val="0000EE"/>
              </w:rPr>
              <w:t>PART III</w:t>
            </w:r>
          </w:p>
        </w:tc>
        <w:tc>
          <w:tcPr>
            <w:tcW w:w="7040" w:type="dxa"/>
            <w:vAlign w:val="bottom"/>
            <w:gridSpan w:val="26"/>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201</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2820" w:type="dxa"/>
            <w:vAlign w:val="bottom"/>
            <w:tcBorders>
              <w:bottom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7"/>
                <w:szCs w:val="17"/>
                <w:color w:val="0000EE"/>
              </w:rPr>
              <w:t>ITEM 17. FINANCIAL STATEMENTS</w:t>
            </w:r>
          </w:p>
        </w:tc>
        <w:tc>
          <w:tcPr>
            <w:tcW w:w="6500" w:type="dxa"/>
            <w:vAlign w:val="bottom"/>
            <w:gridSpan w:val="19"/>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201</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ITEM 18. FINANCIAL STATEMENTS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201</w:t>
            </w:r>
          </w:p>
        </w:tc>
      </w:tr>
      <w:tr>
        <w:trPr>
          <w:trHeight w:val="189"/>
        </w:trPr>
        <w:tc>
          <w:tcPr>
            <w:tcW w:w="1520" w:type="dxa"/>
            <w:vAlign w:val="bottom"/>
            <w:tcBorders>
              <w:top w:val="single" w:sz="8" w:color="0000EE"/>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ITEM 19. EXHIBITS</w:t>
            </w:r>
          </w:p>
        </w:tc>
        <w:tc>
          <w:tcPr>
            <w:tcW w:w="1280" w:type="dxa"/>
            <w:vAlign w:val="bottom"/>
            <w:tcBorders>
              <w:top w:val="single" w:sz="8" w:color="0000EE"/>
            </w:tcBorders>
            <w:gridSpan w:val="11"/>
          </w:tcPr>
          <w:p>
            <w:pPr>
              <w:spacing w:after="0"/>
              <w:rPr>
                <w:sz w:val="16"/>
                <w:szCs w:val="16"/>
                <w:color w:val="auto"/>
              </w:rPr>
            </w:pPr>
          </w:p>
        </w:tc>
        <w:tc>
          <w:tcPr>
            <w:tcW w:w="6520" w:type="dxa"/>
            <w:vAlign w:val="bottom"/>
            <w:gridSpan w:val="20"/>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201</w:t>
            </w:r>
          </w:p>
        </w:tc>
      </w:tr>
      <w:tr>
        <w:trPr>
          <w:trHeight w:val="189"/>
        </w:trPr>
        <w:tc>
          <w:tcPr>
            <w:tcW w:w="1060" w:type="dxa"/>
            <w:vAlign w:val="bottom"/>
            <w:tcBorders>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w w:val="98"/>
              </w:rPr>
              <w:t>SIGNATURES</w:t>
            </w:r>
          </w:p>
        </w:tc>
        <w:tc>
          <w:tcPr>
            <w:tcW w:w="8260" w:type="dxa"/>
            <w:vAlign w:val="bottom"/>
            <w:gridSpan w:val="33"/>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208</w:t>
            </w:r>
          </w:p>
        </w:tc>
      </w:tr>
      <w:tr>
        <w:trPr>
          <w:trHeight w:val="189"/>
        </w:trPr>
        <w:tc>
          <w:tcPr>
            <w:tcW w:w="932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INDEX TO CONSOLIDATED FINANCIAL STATEMENTS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F-1</w:t>
            </w:r>
          </w:p>
        </w:tc>
      </w:tr>
      <w:tr>
        <w:trPr>
          <w:trHeight w:val="20"/>
        </w:trPr>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900"/>
          </w:cols>
          <w:pgMar w:left="320" w:top="472"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this annual report on Form 20-F, unless otherwise indicated:</w:t>
      </w:r>
    </w:p>
    <w:p>
      <w:pPr>
        <w:spacing w:after="0" w:line="131" w:lineRule="exact"/>
        <w:rPr>
          <w:sz w:val="20"/>
          <w:szCs w:val="20"/>
          <w:color w:val="auto"/>
        </w:rPr>
      </w:pPr>
    </w:p>
    <w:p>
      <w:pPr>
        <w:ind w:left="1240" w:hanging="530"/>
        <w:spacing w:after="0" w:line="269"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MRF Senior Notes” refers to the US$1.0 billion aggregate principal amount of 4.875% senior notes due 2025 issued by Melco Resorts Finance, of which US$650.0 million in aggregate principal amount was issued on June 6, 2017 and US$350.0 million in aggregate principal amount was issued on July 3, 2017, and as to which no amount remains outstanding following the redemption of all remaining amounts outstanding in June 2025;</w:t>
      </w:r>
    </w:p>
    <w:p>
      <w:pPr>
        <w:spacing w:after="0" w:line="77" w:lineRule="exact"/>
        <w:rPr>
          <w:rFonts w:ascii="Times New Roman" w:cs="Times New Roman" w:eastAsia="Times New Roman" w:hAnsi="Times New Roman"/>
          <w:sz w:val="17"/>
          <w:szCs w:val="17"/>
          <w:color w:val="auto"/>
        </w:rPr>
      </w:pPr>
    </w:p>
    <w:p>
      <w:pPr>
        <w:jc w:val="both"/>
        <w:ind w:left="1240" w:right="4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SCF Senior Notes” refers to the US$500 million aggregate principal amount of 6.00% senior notes due 2025 issued by Studio City Finance on July 15, 2020, and as to which no amount remains outstanding following the redemption of all remaining amounts outstanding in July 2025;</w:t>
      </w:r>
    </w:p>
    <w:p>
      <w:pPr>
        <w:spacing w:after="0" w:line="70"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SCF Senior Notes Tender Offer (2023)” refers to the conditional tender offer by Studio City Finance pursuant to which it purchased for cash an aggregate principal amount of US$100.0 million of the outstanding 2025 SCF Senior Notes in November 2023;</w:t>
      </w:r>
    </w:p>
    <w:p>
      <w:pPr>
        <w:spacing w:after="0" w:line="55"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SCF Senior Notes Tender Offer (2024)” refers to the conditional tender offer by Studio City Finance pursuant to which it purchased for cash an aggregate principal amount of US$100.0 million of the outstanding 2025 SCF Senior Notes in April 2024;</w:t>
      </w:r>
    </w:p>
    <w:p>
      <w:pPr>
        <w:spacing w:after="0" w:line="55" w:lineRule="exact"/>
        <w:rPr>
          <w:rFonts w:ascii="Times New Roman" w:cs="Times New Roman" w:eastAsia="Times New Roman" w:hAnsi="Times New Roman"/>
          <w:sz w:val="17"/>
          <w:szCs w:val="17"/>
          <w:color w:val="auto"/>
        </w:rPr>
      </w:pPr>
    </w:p>
    <w:p>
      <w:pPr>
        <w:ind w:left="1240" w:right="16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MRF Senior Notes” refers to the US$500.0 million aggregate principal amount of 5.250% senior notes due 2026 issued by Melco Resorts Finance on April 26, 2019, and as to which no amount remains outstanding following the (i) 2026 MRF Senior Notes Tender Offer; and (ii) the redemption of all remaining amounts outstanding in October 2025;</w:t>
      </w:r>
    </w:p>
    <w:p>
      <w:pPr>
        <w:spacing w:after="0" w:line="70"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MRF Senior Notes Tender Offer” refers to the conditional tender offer by Melco Resorts Finance pursuant to which it purchased for cash an aggregate principal amount of US$142.1 million of the outstanding 2026 MRF Senior Notes in September 2025;</w:t>
      </w:r>
    </w:p>
    <w:p>
      <w:pPr>
        <w:spacing w:after="0" w:line="55"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“2027 MRF Senior Notes” refers to the US$600.0 million aggregate principal amount of 5.625% senior notes due 2027 issued by Melco Resorts Finance on July 17, 2019;</w:t>
      </w:r>
    </w:p>
    <w:p>
      <w:pPr>
        <w:spacing w:after="0" w:line="55"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“2027 SCC Senior Secured Notes” refers to the US$350.0 million aggregate principal amount of 7.00% senior secured notes due 2027 issued by Studio City Company on February 16, 2022;</w:t>
      </w:r>
    </w:p>
    <w:p>
      <w:pPr>
        <w:spacing w:after="0" w:line="55" w:lineRule="exact"/>
        <w:rPr>
          <w:rFonts w:ascii="Times New Roman" w:cs="Times New Roman" w:eastAsia="Times New Roman" w:hAnsi="Times New Roman"/>
          <w:sz w:val="17"/>
          <w:szCs w:val="17"/>
          <w:color w:val="auto"/>
        </w:rPr>
      </w:pPr>
    </w:p>
    <w:p>
      <w:pPr>
        <w:ind w:left="1240" w:right="30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MRF Senior Notes” refers to the US$850 million aggregate principal amount of 5.750% senior notes due 2028 issued by Melco Resorts Finance, of which US$500.0 million in aggregate principal amount was issued on July 21, 2020 and US$350.0 million in aggregate principal amount was issued on August 11, 2020;</w:t>
      </w:r>
    </w:p>
    <w:p>
      <w:pPr>
        <w:spacing w:after="0" w:line="70"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SCF Senior Notes” refers to the US$500 million aggregate principal amount of 6.50% senior notes due 2028 issued by Studio City Finance on July 15, 2020;</w:t>
      </w:r>
    </w:p>
    <w:p>
      <w:pPr>
        <w:spacing w:after="0" w:line="55" w:lineRule="exact"/>
        <w:rPr>
          <w:rFonts w:ascii="Times New Roman" w:cs="Times New Roman" w:eastAsia="Times New Roman" w:hAnsi="Times New Roman"/>
          <w:sz w:val="17"/>
          <w:szCs w:val="17"/>
          <w:color w:val="auto"/>
        </w:rPr>
      </w:pPr>
    </w:p>
    <w:p>
      <w:pPr>
        <w:jc w:val="both"/>
        <w:ind w:left="1240" w:right="30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MRF Senior Notes” refers to the US$1.15 billion aggregate principal amount of 5.375% senior notes due 2029 issued by Melco Resorts Finance, of which US$900.0 million in aggregate principal amount was issued on December 4, 2019 and US$250.0 million in aggregate principal amount was issued on January 21, 2021;</w:t>
      </w:r>
    </w:p>
    <w:p>
      <w:pPr>
        <w:spacing w:after="0" w:line="70" w:lineRule="exact"/>
        <w:rPr>
          <w:rFonts w:ascii="Times New Roman" w:cs="Times New Roman" w:eastAsia="Times New Roman" w:hAnsi="Times New Roman"/>
          <w:sz w:val="17"/>
          <w:szCs w:val="17"/>
          <w:color w:val="auto"/>
        </w:rPr>
      </w:pPr>
    </w:p>
    <w:p>
      <w:pPr>
        <w:ind w:left="1240" w:right="180" w:hanging="530"/>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SCF Senior Notes” refers to the US$1.1 billion aggregate principal amount of 5.00% senior notes due 2029 issued by Studio City Finance, of which US$750.0 million in aggregate principal amount was issued on January 14, 2021 and US$350.0 million in aggregate principal amount was issued on May 20, 2021;</w:t>
      </w:r>
    </w:p>
    <w:p>
      <w:pPr>
        <w:spacing w:after="0" w:line="70"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“2032 MRF Senior Notes” refers to the US$750.0 million aggregate principal amount of 7.625% senior notes due 2032 issued by Melco Resorts Finance on April 17, 2024;</w:t>
      </w:r>
    </w:p>
    <w:p>
      <w:pPr>
        <w:spacing w:after="0" w:line="55"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“2033 MRF Senior Notes” refers to the US$500.0 million aggregate principal amount of 6.500% senior notes due 2033 issued by Melco Resorts Finance on September 24, 2025;</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900"/>
          </w:cols>
          <w:pgMar w:left="320" w:top="472"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“ADSs” refers to our American depositary shares, each of which represents three ordinary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Macau” refers to an integrated resort located in Taipa, Macau;</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Resorts” refers to our subsidiary, Altira Resorts Limited, a Macau company through which we hold the land and building for Altira Macau and operate hotel and certain other non-gaming businesses at Altira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“Bluehaven Services” refers to our subsidiary, Bluehaven Services (Private) Limited, a company incorporated in Sri Lanka;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“board of directors” refer to the board of directors of our Company or a duly constituted committee thereof;</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“CGC” means the Cyprus Gaming and Casino Supervision Commission;</w:t>
      </w:r>
    </w:p>
    <w:p>
      <w:pPr>
        <w:spacing w:after="0" w:line="131" w:lineRule="exact"/>
        <w:rPr>
          <w:rFonts w:ascii="Times New Roman" w:cs="Times New Roman" w:eastAsia="Times New Roman" w:hAnsi="Times New Roman"/>
          <w:sz w:val="17"/>
          <w:szCs w:val="17"/>
          <w:color w:val="auto"/>
        </w:rPr>
      </w:pPr>
    </w:p>
    <w:p>
      <w:pPr>
        <w:ind w:left="1240" w:right="80" w:hanging="530"/>
        <w:spacing w:after="0" w:line="26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79" w:lineRule="exact"/>
        <w:rPr>
          <w:rFonts w:ascii="Times New Roman" w:cs="Times New Roman" w:eastAsia="Times New Roman" w:hAnsi="Times New Roman"/>
          <w:sz w:val="17"/>
          <w:szCs w:val="17"/>
          <w:color w:val="auto"/>
        </w:rPr>
      </w:pPr>
    </w:p>
    <w:p>
      <w:pPr>
        <w:ind w:left="1240" w:right="56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refers to an integrated resort located in Cotai, Macau, which currently features gaming areas and luxury hotels, a collection of retail brands, a wet stage performance theater and other entertainment venues;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Manila” refers to an integrated resort located within Entertainment City, Manila;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Mediterranean” refers to an integrated resort located in Limassol,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Sri Lanka” refers to an integrated resort located in Colombo, Sri Lanka;</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 Resorts” refers to our subsidiary, COD Resorts Limited, a Macau company through which we hold the land and buildings for City of Dreams, operate hotel and certain other non-gaming businesses at City of Dreams and provide shared services within the Company;</w:t>
      </w:r>
    </w:p>
    <w:p>
      <w:pPr>
        <w:spacing w:after="0" w:line="55" w:lineRule="exact"/>
        <w:rPr>
          <w:rFonts w:ascii="Times New Roman" w:cs="Times New Roman" w:eastAsia="Times New Roman" w:hAnsi="Times New Roman"/>
          <w:sz w:val="17"/>
          <w:szCs w:val="17"/>
          <w:color w:val="auto"/>
        </w:rPr>
      </w:pPr>
    </w:p>
    <w:p>
      <w:pPr>
        <w:jc w:val="both"/>
        <w:ind w:left="1240" w:right="240" w:hanging="530"/>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“Concession Contract” refers to the concession contract executed between the Macau SAR and Melco Resorts Macau on December 16, 2022, as amended on February 10, 2026, that provides for the terms and conditions of the concession granted to Melco Resorts Macau, which expires on December 31, 2032;</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Acquisition” refers to our acquisition of a 75% equity interest in ICR Cyprus from Melco International with the issuance of</w:t>
      </w:r>
    </w:p>
    <w:p>
      <w:pPr>
        <w:spacing w:after="0" w:line="31" w:lineRule="exact"/>
        <w:rPr>
          <w:rFonts w:ascii="Times New Roman" w:cs="Times New Roman" w:eastAsia="Times New Roman" w:hAnsi="Times New Roman"/>
          <w:sz w:val="17"/>
          <w:szCs w:val="17"/>
          <w:color w:val="auto"/>
        </w:rPr>
      </w:pPr>
    </w:p>
    <w:p>
      <w:pPr>
        <w:ind w:left="1240" w:right="3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55.5 million ordinary shares as consideration pursuant to the definitive agreement entered into between us and Melco International on June 24, 2019 and completed on July 31, 2019;</w:t>
      </w:r>
    </w:p>
    <w:p>
      <w:pPr>
        <w:spacing w:after="0" w:line="72"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Casinos” refers to our satellite casinos in Cyprus, which, as of the date of this annual report, comprise properties in Nicosia, Ayia Napa and Paphos;</w:t>
      </w:r>
    </w:p>
    <w:p>
      <w:pPr>
        <w:spacing w:after="0" w:line="55" w:lineRule="exact"/>
        <w:rPr>
          <w:rFonts w:ascii="Times New Roman" w:cs="Times New Roman" w:eastAsia="Times New Roman" w:hAnsi="Times New Roman"/>
          <w:sz w:val="17"/>
          <w:szCs w:val="17"/>
          <w:color w:val="auto"/>
        </w:rPr>
      </w:pPr>
    </w:p>
    <w:p>
      <w:pPr>
        <w:ind w:left="1240" w:right="40" w:hanging="530"/>
        <w:spacing w:after="0" w:line="269"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License” refers to the gaming license granted by the government of Cyprus to Integrated Casino Resorts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w:t>
      </w:r>
    </w:p>
    <w:p>
      <w:pPr>
        <w:spacing w:after="0" w:line="77"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“DICJ” refers to the Direcção de Inspecção e Coordenação de Jogos (the Gaming Inspection and Coordination Bureau), a department of the government of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“DSEC” refers to the Statistics and Census Service of Macau, a department of the government of Macau;</w:t>
      </w:r>
    </w:p>
    <w:p>
      <w:pPr>
        <w:spacing w:after="0" w:line="1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900"/>
          </w:cols>
          <w:pgMar w:left="320" w:top="472"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 and “Euro(s)” refer to the legal currency of the European Union;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“HIBOR” refers to the Hong Kong Interbank Offered Rate;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 and “H.K. dollar(s)” refer to the legal currency of Hong Kong;</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“HKSE” refers to The Stock Exchange of Hong Kong Limited;</w:t>
      </w:r>
    </w:p>
    <w:p>
      <w:pPr>
        <w:spacing w:after="0" w:line="131" w:lineRule="exact"/>
        <w:rPr>
          <w:rFonts w:ascii="Times New Roman" w:cs="Times New Roman" w:eastAsia="Times New Roman" w:hAnsi="Times New Roman"/>
          <w:sz w:val="17"/>
          <w:szCs w:val="17"/>
          <w:color w:val="auto"/>
        </w:rPr>
      </w:pPr>
    </w:p>
    <w:p>
      <w:pPr>
        <w:ind w:left="1240" w:right="32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“ICR Cyprus” refers to ICR Cyprus Holdings Limited, a company incorporated under the laws of Cyprus, in which we acquired a 75% equity interest upon the completion of the Cyprus Acquisition;</w:t>
      </w:r>
    </w:p>
    <w:p>
      <w:pPr>
        <w:spacing w:after="0" w:line="55"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Casino Resorts” refers to Integrated Casino Resorts Cyprus Limited, a company incorporated under the laws of Cyprus and which became our subsidiary upon the completion of the Cyprus Acquisition;</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“LKR” and “Sri Lankan rupee(s)” refer to the legal currency of Sri Lanka;</w:t>
      </w:r>
    </w:p>
    <w:p>
      <w:pPr>
        <w:spacing w:after="0" w:line="131" w:lineRule="exact"/>
        <w:rPr>
          <w:rFonts w:ascii="Times New Roman" w:cs="Times New Roman" w:eastAsia="Times New Roman" w:hAnsi="Times New Roman"/>
          <w:sz w:val="17"/>
          <w:szCs w:val="17"/>
          <w:color w:val="auto"/>
        </w:rPr>
      </w:pPr>
    </w:p>
    <w:p>
      <w:pPr>
        <w:ind w:left="1240" w:right="52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Nominee One” refers to our subsidiary, MCO Nominee One Limited, a company incorporated under the laws of the Cayman Islands;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refers to Melco International Development Limited, a Hong Kong-listed company;</w:t>
      </w:r>
    </w:p>
    <w:p>
      <w:pPr>
        <w:spacing w:after="0" w:line="131" w:lineRule="exact"/>
        <w:rPr>
          <w:rFonts w:ascii="Times New Roman" w:cs="Times New Roman" w:eastAsia="Times New Roman" w:hAnsi="Times New Roman"/>
          <w:sz w:val="17"/>
          <w:szCs w:val="17"/>
          <w:color w:val="auto"/>
        </w:rPr>
      </w:pPr>
    </w:p>
    <w:p>
      <w:pPr>
        <w:ind w:left="1240" w:right="20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Leisure” refers to Melco Leisure and Entertainment Group Limited, a company incorporated under the laws of the British Virgin Islands and a wholly-owned subsidiary of Melco International;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Philippine Parties” refers to Melco Resorts Leisure, MPHIL Holdings No. 1 and MPHIL Holdings No. 2;</w:t>
      </w:r>
    </w:p>
    <w:p>
      <w:pPr>
        <w:spacing w:after="0" w:line="131"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Finance Notes” refers to, collectively, the 2027 MRF Senior Notes, the 2028 MRF Senior Notes, the 2029 MRF Senior Notes, the 2032 MRF Senior Notes and the 2033 MRF Senior Notes;</w:t>
      </w:r>
    </w:p>
    <w:p>
      <w:pPr>
        <w:spacing w:after="0" w:line="55"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Finance” refers to our subsidiary, Melco Resorts Finance Limited, a Cayman Islands exempted company with limited liability;</w:t>
      </w:r>
    </w:p>
    <w:p>
      <w:pPr>
        <w:spacing w:after="0" w:line="55"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Leisure” refers to our subsidiary, Melco Resorts Leisure (PHP) Corporation, a corporation incorporated in the Philippines and one of the Philippine Licensees holding the Philippine License;</w:t>
      </w:r>
    </w:p>
    <w:p>
      <w:pPr>
        <w:spacing w:after="0" w:line="55" w:lineRule="exact"/>
        <w:rPr>
          <w:rFonts w:ascii="Times New Roman" w:cs="Times New Roman" w:eastAsia="Times New Roman" w:hAnsi="Times New Roman"/>
          <w:sz w:val="17"/>
          <w:szCs w:val="17"/>
          <w:color w:val="auto"/>
        </w:rPr>
      </w:pPr>
    </w:p>
    <w:p>
      <w:pPr>
        <w:ind w:left="1240" w:right="640" w:hanging="530"/>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refers to our subsidiary, Melco Resorts (Macau) Limited, a Macau company and the holder of our gaming concession;</w:t>
      </w:r>
    </w:p>
    <w:p>
      <w:pPr>
        <w:spacing w:after="0" w:line="55" w:lineRule="exact"/>
        <w:rPr>
          <w:rFonts w:ascii="Times New Roman" w:cs="Times New Roman" w:eastAsia="Times New Roman" w:hAnsi="Times New Roman"/>
          <w:sz w:val="17"/>
          <w:szCs w:val="17"/>
          <w:color w:val="auto"/>
        </w:rPr>
      </w:pPr>
    </w:p>
    <w:p>
      <w:pPr>
        <w:ind w:left="1240" w:hanging="530"/>
        <w:spacing w:after="0" w:line="260"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“MN1 2020 Revolving Facilities” refers to the senior facilities agreement dated April 29, 2020, entered into between, among others, MCO Nominee One, our subsidiary and as borrower, and Bank of China Limited, Macau Branch, Bank of Communications Co., Ltd. Macau Branch and Morgan Stanley Senior Funding, Inc., as joint global coordinators, under which lenders have made available HK$14.85 billion (equivalent to US$1.92 billion) in a revolving credit facility for an initial term of five years, and which has been amended and restated under the MN1 2023 Amendment and Restatement and the MN1 2024 Amendment and Restatement including an extension of the maturity date to April 29, 2027, and an increase in the overall commitments by HK$387.5 million (equivalent to US$49.8 million) to</w:t>
      </w:r>
    </w:p>
    <w:p>
      <w:pPr>
        <w:spacing w:after="0" w:line="2"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HK$15.24 billion (equivalent to US$1.96 billion) pursuant to the establishment of an incremental facility in February 2025;</w:t>
      </w:r>
    </w:p>
    <w:p>
      <w:pPr>
        <w:spacing w:after="0" w:line="113" w:lineRule="exact"/>
        <w:rPr>
          <w:rFonts w:ascii="Times New Roman" w:cs="Times New Roman" w:eastAsia="Times New Roman" w:hAnsi="Times New Roman"/>
          <w:sz w:val="17"/>
          <w:szCs w:val="17"/>
          <w:color w:val="auto"/>
        </w:rPr>
      </w:pPr>
    </w:p>
    <w:p>
      <w:pPr>
        <w:ind w:left="1240" w:right="40" w:hanging="530"/>
        <w:spacing w:after="0" w:line="264"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“MN1 2023 Amendment and Restatement” refers to the Amendment and Restatement Agreement dated June 29, 2023 among MCO Nominee One, MCO Investments Limited, Melco Resorts Finance, MCO International Limited, and Bank of China Limited, Macau Branch, acting as the facility agent, to amend the provisions of the MN1 2020 Revolving Facilities such that borrowings under the MN1 2020 Revolving Facilities denominated in U.S. dollars bear interest at the term Secured Overnight Financing Rate plus an applicable credit adjustment spread ranging from 0.06% to 0.20% per annum, as adjusted in accordance with the interest period, and a margin ranging from 1.00% to 2.00% per annum as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960"/>
          </w:cols>
          <w:pgMar w:left="320" w:top="472"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adjusted in accordance with the leverage ratio in respect of MCO Nominee One and certain of its specified subsidiaries;</w:t>
      </w:r>
    </w:p>
    <w:p>
      <w:pPr>
        <w:spacing w:after="0" w:line="131" w:lineRule="exact"/>
        <w:rPr>
          <w:sz w:val="20"/>
          <w:szCs w:val="20"/>
          <w:color w:val="auto"/>
        </w:rPr>
      </w:pPr>
    </w:p>
    <w:p>
      <w:pPr>
        <w:ind w:left="1240" w:right="40" w:hanging="530"/>
        <w:spacing w:after="0" w:line="273"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“MN1 2024 Amendment and Restatement” refers to the Second Amendment and Restatement Agreement dated April 8, 2024 among MCO Nominee One, MCO Investments Limited, Melco Resorts Finance, MCO International Limited, and Bank of China Limited, Macau Branch, acting as the facility agent, to amend, among other things, the maturity date of the MN1 2020 Revolving Facilities to April 29, 2027;</w:t>
      </w:r>
    </w:p>
    <w:p>
      <w:pPr>
        <w:spacing w:after="0" w:line="286" w:lineRule="exact"/>
        <w:rPr>
          <w:rFonts w:ascii="Times New Roman" w:cs="Times New Roman" w:eastAsia="Times New Roman" w:hAnsi="Times New Roman"/>
          <w:sz w:val="17"/>
          <w:szCs w:val="17"/>
          <w:color w:val="auto"/>
        </w:rPr>
      </w:pPr>
    </w:p>
    <w:p>
      <w:pPr>
        <w:ind w:left="1240" w:right="32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“Mocha Clubs” refers to, collectively, our clubs with gaming machines in Macau, which are non-casino based operations of electronic gaming machines;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 and “Pataca(s)” refer to the legal currency of Macau;</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 1” refers to our subsidiary, MPHIL Holdings No. 1 Corporation, a corporation incorporated in the Philippines and one of the Philippine Licensees holding the Philippine License;</w:t>
      </w:r>
    </w:p>
    <w:p>
      <w:pPr>
        <w:spacing w:after="0" w:line="55"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 2” refers to our subsidiary, MPHIL Holdings No. 2 Corporation, a corporation incorporated in the Philippines and one of the Philippine Licensees holding the Philippine License;</w:t>
      </w:r>
    </w:p>
    <w:p>
      <w:pPr>
        <w:spacing w:after="0" w:line="55" w:lineRule="exact"/>
        <w:rPr>
          <w:rFonts w:ascii="Times New Roman" w:cs="Times New Roman" w:eastAsia="Times New Roman" w:hAnsi="Times New Roman"/>
          <w:sz w:val="17"/>
          <w:szCs w:val="17"/>
          <w:color w:val="auto"/>
        </w:rPr>
      </w:pPr>
    </w:p>
    <w:p>
      <w:pPr>
        <w:ind w:left="1240" w:hanging="530"/>
        <w:spacing w:after="0" w:line="262"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“MRM 2015 Credit Facilities” refers to the HK$13.65 billion (equivalent to US$1.75 billion) senior secured credit facilities agreement dated June 19, 2015, entered into by Melco Resorts Macau, as borrower, comprising (i) a Hong Kong dollar term loan facility of HK$3.90 billion (equivalent to US$500.0 million) with a term of six years and (ii) a HK$9.75 billion (equivalent to US$1.25 billion) revolving credit facility, and following the repayment of all outstanding loan amounts, together with accrued interest and associated costs on May 7, 2020, other than the HK$1.0 million (equivalent to US$0.1 million) which remains outstanding under the term loan facility, and the HK$1.0 million (equivalent to US$0.1 million) revolving credit facility commitment which remains available under the revolving credit facility, all other commitments under the MRM 2015 Credit Facilities were canceled, with a maturity date extended to June 24, 2026;</w:t>
      </w:r>
    </w:p>
    <w:p>
      <w:pPr>
        <w:spacing w:after="0" w:line="296" w:lineRule="exact"/>
        <w:rPr>
          <w:rFonts w:ascii="Times New Roman" w:cs="Times New Roman" w:eastAsia="Times New Roman" w:hAnsi="Times New Roman"/>
          <w:sz w:val="17"/>
          <w:szCs w:val="17"/>
          <w:color w:val="auto"/>
        </w:rPr>
      </w:pPr>
    </w:p>
    <w:p>
      <w:pPr>
        <w:jc w:val="both"/>
        <w:ind w:left="1240" w:right="100" w:hanging="530"/>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“MRP” refers to our subsidiary, Melco Resorts and Entertainment (Philippines) Corporation, the shares of which have been delisted from the Philippine Stock Exchange since June 11, 2019 due to MRP’s public ownership having fallen below the minimum requirement of the Philippine Stock Exchange for more than six months;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“Nobu Hotel Manila” refers to the hotel located in City of Dreams Manila branded as Nobu Hotel Manila;</w:t>
      </w:r>
    </w:p>
    <w:p>
      <w:pPr>
        <w:spacing w:after="0" w:line="131"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Manila” refers to the hotel located in City of Dreams Manila branded as Nüwa Hotel Manila, formerly branded as the Crown Towers hotel;</w:t>
      </w:r>
    </w:p>
    <w:p>
      <w:pPr>
        <w:spacing w:after="0" w:line="55" w:lineRule="exact"/>
        <w:rPr>
          <w:rFonts w:ascii="Times New Roman" w:cs="Times New Roman" w:eastAsia="Times New Roman" w:hAnsi="Times New Roman"/>
          <w:sz w:val="17"/>
          <w:szCs w:val="17"/>
          <w:color w:val="auto"/>
        </w:rPr>
      </w:pPr>
    </w:p>
    <w:p>
      <w:pPr>
        <w:ind w:left="1240" w:right="44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Sri Lanka” refers to the top five floors of City of Dreams Sri Lanka, comprising a total of 113 luxury rooms and three dining restaurants and bars, managed under our Nüwa brand;</w:t>
      </w:r>
    </w:p>
    <w:p>
      <w:pPr>
        <w:spacing w:after="0" w:line="55" w:lineRule="exact"/>
        <w:rPr>
          <w:rFonts w:ascii="Times New Roman" w:cs="Times New Roman" w:eastAsia="Times New Roman" w:hAnsi="Times New Roman"/>
          <w:sz w:val="17"/>
          <w:szCs w:val="17"/>
          <w:color w:val="auto"/>
        </w:rPr>
      </w:pPr>
    </w:p>
    <w:p>
      <w:pPr>
        <w:ind w:left="1240" w:right="46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concession” and “our gaming concession” refer to the Macau gaming concession held by Melco Resorts Macau, effective from January 1, 2023 until December 31, 2032;</w:t>
      </w:r>
    </w:p>
    <w:p>
      <w:pPr>
        <w:spacing w:after="0" w:line="55" w:lineRule="exact"/>
        <w:rPr>
          <w:rFonts w:ascii="Times New Roman" w:cs="Times New Roman" w:eastAsia="Times New Roman" w:hAnsi="Times New Roman"/>
          <w:sz w:val="17"/>
          <w:szCs w:val="17"/>
          <w:color w:val="auto"/>
        </w:rPr>
      </w:pPr>
    </w:p>
    <w:p>
      <w:pPr>
        <w:jc w:val="both"/>
        <w:ind w:left="1240" w:right="380" w:hanging="530"/>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refers to the Philippines Amusement and Gaming Corporation, the Philippines regulatory body with jurisdiction over all gaming activities in the Philippines except for lottery, sweepstakes, cockfighting, horse racing and gaming inside the Cagayan Export Zone;</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Charter” refers to the Presidential Decree No. 1869, of the Philippines;</w:t>
      </w:r>
    </w:p>
    <w:p>
      <w:pPr>
        <w:spacing w:after="0" w:line="131" w:lineRule="exact"/>
        <w:rPr>
          <w:rFonts w:ascii="Times New Roman" w:cs="Times New Roman" w:eastAsia="Times New Roman" w:hAnsi="Times New Roman"/>
          <w:sz w:val="17"/>
          <w:szCs w:val="17"/>
          <w:color w:val="auto"/>
        </w:rPr>
      </w:pPr>
    </w:p>
    <w:p>
      <w:pPr>
        <w:ind w:left="1240" w:right="680" w:hanging="530"/>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License” refers to the regular gaming license dated April 29, 2015 issued by PAGCOR to the Philippine Licensees in replacement of the Provisional License for the operation of City of Dreams Manila and which is valid until July 11, 2033;</w:t>
      </w:r>
    </w:p>
    <w:p>
      <w:pPr>
        <w:spacing w:after="0" w:line="55" w:lineRule="exact"/>
        <w:rPr>
          <w:rFonts w:ascii="Times New Roman" w:cs="Times New Roman" w:eastAsia="Times New Roman" w:hAnsi="Times New Roman"/>
          <w:sz w:val="17"/>
          <w:szCs w:val="17"/>
          <w:color w:val="auto"/>
        </w:rPr>
      </w:pPr>
    </w:p>
    <w:p>
      <w:pPr>
        <w:ind w:left="5580" w:right="140" w:hanging="4870"/>
        <w:spacing w:after="0" w:line="356" w:lineRule="auto"/>
        <w:tabs>
          <w:tab w:leader="none" w:pos="123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Licensees” refers to holders of the Philippine License, which include the Melco Philippine Parties and the Philippine Parties; 4</w:t>
      </w:r>
    </w:p>
    <w:p>
      <w:pPr>
        <w:sectPr>
          <w:pgSz w:w="11900" w:h="16838" w:orient="portrait"/>
          <w:cols w:equalWidth="0" w:num="1">
            <w:col w:w="10900"/>
          </w:cols>
          <w:pgMar w:left="320" w:top="472"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Parties” refers to SM Investments Corporation, Belle Corporation and PremiumLeisure and Amusement, Inc.;</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“PHP” and “Philippine peso(s)” refer to the legal currency of the Philippines;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“RMB” and “Renminbi” refer to the legal currency of China;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 ADSs” refers to the American depositary shares of SCI, each of which represents four Class A ordinary shares of SCI;</w:t>
      </w:r>
    </w:p>
    <w:p>
      <w:pPr>
        <w:spacing w:after="0" w:line="131" w:lineRule="exact"/>
        <w:rPr>
          <w:rFonts w:ascii="Times New Roman" w:cs="Times New Roman" w:eastAsia="Times New Roman" w:hAnsi="Times New Roman"/>
          <w:sz w:val="17"/>
          <w:szCs w:val="17"/>
          <w:color w:val="auto"/>
        </w:rPr>
      </w:pPr>
    </w:p>
    <w:p>
      <w:pPr>
        <w:ind w:left="1240" w:right="40" w:hanging="530"/>
        <w:spacing w:after="0" w:line="269"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which was amended, restated and extended by the SCC 2016 Credit Facilities;</w:t>
      </w:r>
    </w:p>
    <w:p>
      <w:pPr>
        <w:spacing w:after="0" w:line="77" w:lineRule="exact"/>
        <w:rPr>
          <w:rFonts w:ascii="Times New Roman" w:cs="Times New Roman" w:eastAsia="Times New Roman" w:hAnsi="Times New Roman"/>
          <w:sz w:val="17"/>
          <w:szCs w:val="17"/>
          <w:color w:val="auto"/>
        </w:rPr>
      </w:pPr>
    </w:p>
    <w:p>
      <w:pPr>
        <w:ind w:left="1240" w:right="260" w:hanging="530"/>
        <w:spacing w:after="0" w:line="266"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w:t>
      </w:r>
    </w:p>
    <w:p>
      <w:pPr>
        <w:spacing w:after="0" w:line="79" w:lineRule="exact"/>
        <w:rPr>
          <w:rFonts w:ascii="Times New Roman" w:cs="Times New Roman" w:eastAsia="Times New Roman" w:hAnsi="Times New Roman"/>
          <w:sz w:val="17"/>
          <w:szCs w:val="17"/>
          <w:color w:val="auto"/>
        </w:rPr>
      </w:pPr>
    </w:p>
    <w:p>
      <w:pPr>
        <w:ind w:left="1240" w:hanging="530"/>
        <w:spacing w:after="0" w:line="266"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w:t>
      </w:r>
    </w:p>
    <w:p>
      <w:pPr>
        <w:spacing w:after="0" w:line="79" w:lineRule="exact"/>
        <w:rPr>
          <w:rFonts w:ascii="Times New Roman" w:cs="Times New Roman" w:eastAsia="Times New Roman" w:hAnsi="Times New Roman"/>
          <w:sz w:val="17"/>
          <w:szCs w:val="17"/>
          <w:color w:val="auto"/>
        </w:rPr>
      </w:pPr>
    </w:p>
    <w:p>
      <w:pPr>
        <w:ind w:left="1240" w:right="120" w:hanging="530"/>
        <w:spacing w:after="0" w:line="266"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79"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 and “Studio City International” refer to our subsidiary, Studio City International Holdings Limited, an exempted company registered by way of continuation in the Cayman Islands, the American depositary shares of which are listed on the New York Stock Exchange;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“SGD” and “Singapore dollar(s)” refer to the legal currency of Singapore;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and “ordinary share(s)” refer to our ordinary share(s), par value of US$0.01 each;</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“Sri Lanka Casino” refers to the casino business operated by us and located in City of Dreams Sri Lanka;</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76"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“Sri Lanka License” refers to the casino business license dated March 27, 2024 issued by the Sri Lanka Ministry of Finance, Economic Stabilization &amp; National Policies to Bluehaven Services for the operation of a casino at City of Dreams Sri Lanka and valid from April 1, 2024 to March 31, 2044;</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refers to a cinematically-themed integrated resort in Cotai, Macau;</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refers to the gaming areas being operated within Studio City;</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Agreement” (previously referred to as the Services and Right to Use Arrangements) refers to the agreement entered into among Melco Resorts Macau and Studio City</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960"/>
          </w:cols>
          <w:pgMar w:left="320" w:top="472" w:right="6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60"/>
        <w:spacing w:after="0" w:line="295" w:lineRule="auto"/>
        <w:rPr>
          <w:sz w:val="20"/>
          <w:szCs w:val="20"/>
          <w:color w:val="auto"/>
        </w:rPr>
      </w:pPr>
      <w:r>
        <w:rPr>
          <w:rFonts w:ascii="Times New Roman" w:cs="Times New Roman" w:eastAsia="Times New Roman" w:hAnsi="Times New Roman"/>
          <w:sz w:val="17"/>
          <w:szCs w:val="17"/>
          <w:color w:val="auto"/>
        </w:rPr>
        <w:t>Entertainment Limited, dated May 11, 2007 and amended on June 15, 2012 and June 23, 2022, and any other agreements or arrangements entered into from time to time, which may amend, supplement or relate to the aforementioned agreements or arrangements;</w:t>
      </w:r>
    </w:p>
    <w:p>
      <w:pPr>
        <w:spacing w:after="0" w:line="55" w:lineRule="exact"/>
        <w:rPr>
          <w:sz w:val="20"/>
          <w:szCs w:val="20"/>
          <w:color w:val="auto"/>
        </w:rPr>
      </w:pPr>
    </w:p>
    <w:p>
      <w:pPr>
        <w:ind w:left="1240" w:right="34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Company” refers to our subsidiary, Studio City Company Limited, which is a company incorporated in the British Virgin Islands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Finance” refers to our subsidiary, Studio City Finance Limited, which is a company incorporated in the British Virgin Islands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 refers to the hotel owned by Studio City Developments Limited which includes the four hotel towers at Studio City;</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Hotels” refers to our subsidiary, Studio City Hotels Limited, which is a company incorporated in Macau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Investments” refers to our subsidiary, Studio City Investments Limited, which is a company incorporated in the British Virgin Islands with limited liability and which is also an indirect subsidiary of SCI;</w:t>
      </w:r>
    </w:p>
    <w:p>
      <w:pPr>
        <w:spacing w:after="0" w:line="55"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IPO” refers to the initial public offering of a total of 33,062,500 SC ADSs, comprising the 28,750,000 SC ADSs sold initially and the 4,312,500 SC ADSs sold pursuant to the over-allotment option, at the price of US$12.50 per SC ADS;</w:t>
      </w:r>
    </w:p>
    <w:p>
      <w:pPr>
        <w:spacing w:after="0" w:line="55" w:lineRule="exact"/>
        <w:rPr>
          <w:rFonts w:ascii="Times New Roman" w:cs="Times New Roman" w:eastAsia="Times New Roman" w:hAnsi="Times New Roman"/>
          <w:sz w:val="17"/>
          <w:szCs w:val="17"/>
          <w:color w:val="auto"/>
        </w:rPr>
      </w:pPr>
    </w:p>
    <w:p>
      <w:pPr>
        <w:ind w:left="1240" w:right="44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Notes” refer to, collectively, the 2027 SCC Senior Secured Notes, the 2028 SCF Senior Notes and the 2029 SCF Senior Notes;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Philippines” refers to the Republic of the Philippines;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“TWD” and “New Taiwan dollar(s)” refer to the legal currency of Taiwan;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“U.S. dollar(s)” refer to the legal currency of the United States;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GAAP” refers to the U.S. generally accepted accounting principles; and</w:t>
      </w:r>
    </w:p>
    <w:p>
      <w:pPr>
        <w:spacing w:after="0" w:line="131" w:lineRule="exact"/>
        <w:rPr>
          <w:rFonts w:ascii="Times New Roman" w:cs="Times New Roman" w:eastAsia="Times New Roman" w:hAnsi="Times New Roman"/>
          <w:sz w:val="17"/>
          <w:szCs w:val="17"/>
          <w:color w:val="auto"/>
        </w:rPr>
      </w:pPr>
    </w:p>
    <w:p>
      <w:pPr>
        <w:ind w:left="1240" w:right="400" w:hanging="530"/>
        <w:spacing w:after="0" w:line="295"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“our Company”, “the Company” and “Melco Resorts” refer to Melco Resorts &amp; Entertainment Limited and, as the context requires, its predecessor entities and its consolidated subsidiaries.</w:t>
      </w:r>
    </w:p>
    <w:p>
      <w:pPr>
        <w:spacing w:after="0" w:line="147"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This annual report on Form 20-F includes our audited consolidated financial statements for the years ended December 31, 2025, 2024 and 2023 and as of December 31, 2025 and 2024. Certain monetary amounts, percentages, and other figures included in this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1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920"/>
          </w:cols>
          <w:pgMar w:left="320" w:top="472"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“average daily rate”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“cage”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“concession”</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“dealer”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“drop”</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“drop box”</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“electronic gaming table”</w:t>
      </w:r>
    </w:p>
    <w:p>
      <w:pPr>
        <w:spacing w:after="0" w:line="327" w:lineRule="exact"/>
        <w:rPr>
          <w:sz w:val="20"/>
          <w:szCs w:val="20"/>
          <w:color w:val="auto"/>
        </w:rPr>
      </w:pPr>
    </w:p>
    <w:p>
      <w:pPr>
        <w:ind w:left="300" w:right="880"/>
        <w:spacing w:after="0" w:line="404"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“gaming promoter”</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“integrated resort”</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“junket player”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“marker”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patron”</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operations”</w:t>
      </w:r>
    </w:p>
    <w:p>
      <w:pPr>
        <w:spacing w:after="0" w:line="32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7"/>
          <w:szCs w:val="17"/>
          <w:color w:val="auto"/>
        </w:rPr>
        <w:t>“mass market table games drop”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-658495</wp:posOffset>
            </wp:positionV>
            <wp:extent cx="7178675"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33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occupied, including complimentary rooms, i.e., average price of occupied rooms per day</w:t>
      </w:r>
    </w:p>
    <w:p>
      <w:pPr>
        <w:spacing w:after="0" w:line="57"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7"/>
          <w:szCs w:val="17"/>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round token that is used on casino gaming tables in lieu of cash</w:t>
      </w:r>
    </w:p>
    <w:p>
      <w:pPr>
        <w:spacing w:after="0" w:line="118" w:lineRule="exact"/>
        <w:rPr>
          <w:sz w:val="20"/>
          <w:szCs w:val="20"/>
          <w:color w:val="auto"/>
        </w:rPr>
      </w:pPr>
    </w:p>
    <w:p>
      <w:pPr>
        <w:jc w:val="both"/>
        <w:ind w:right="240"/>
        <w:spacing w:after="0" w:line="276" w:lineRule="auto"/>
        <w:rPr>
          <w:sz w:val="20"/>
          <w:szCs w:val="20"/>
          <w:color w:val="auto"/>
        </w:rPr>
      </w:pPr>
      <w:r>
        <w:rPr>
          <w:rFonts w:ascii="Times New Roman" w:cs="Times New Roman" w:eastAsia="Times New Roman" w:hAnsi="Times New Roman"/>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casino employee who takes and pays out wagers or otherwise oversees a gaming table</w:t>
      </w:r>
    </w:p>
    <w:p>
      <w:pPr>
        <w:spacing w:after="0" w:line="118"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amount of cash to purchase gaming chips and promotional vouchers that is deposited in a gaming table’s drop box, plus gaming chips purchased at the casino cage</w:t>
      </w:r>
    </w:p>
    <w:p>
      <w:pPr>
        <w:spacing w:after="0" w:line="4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a box or container that serves as a repository for cash, chip purchase vouchers, credit markers and forms used to record movements in the chip inventory on each table game</w:t>
      </w:r>
    </w:p>
    <w:p>
      <w:pPr>
        <w:spacing w:after="0" w:line="42"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color w:val="auto"/>
        </w:rPr>
        <w:t>table with an electronic or computerized wagering and payment system that allow players to place bets from multiple-player gaming seats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slot machine and/or electronic gaming 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amount wagered in gaming machines</w:t>
      </w:r>
    </w:p>
    <w:p>
      <w:pPr>
        <w:spacing w:after="0" w:line="118"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gaming machine win (calculated before other incentives and allocating casino revenues related to goods and services provided to gaming patrons on a complimentary basis) expressed as a percentage of gaming machine handle</w:t>
      </w:r>
    </w:p>
    <w:p>
      <w:pPr>
        <w:spacing w:after="0" w:line="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57"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a resort which provides customers with a combination of hotel accommodations, gaming areas, retail and dining facilities, MICE space, entertainment venues and spas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player sourced by gaming promoters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evidence of indebtedness by a player to the gaming operator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customer who plays in the mass market operations</w:t>
      </w:r>
    </w:p>
    <w:p>
      <w:pPr>
        <w:spacing w:after="0" w:line="118"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consists of both table games and gaming machines played by mass market patrons primarily for cash stakes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wagered in the mass market table games operations</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2">
            <w:col w:w="3100" w:space="720"/>
            <w:col w:w="7120"/>
          </w:cols>
          <w:pgMar w:left="320" w:top="472"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table games hold percentage”</w:t>
      </w:r>
    </w:p>
    <w:p>
      <w:pPr>
        <w:spacing w:after="0" w:line="200" w:lineRule="exact"/>
        <w:rPr>
          <w:sz w:val="20"/>
          <w:szCs w:val="20"/>
          <w:color w:val="auto"/>
        </w:rPr>
      </w:pPr>
    </w:p>
    <w:p>
      <w:pPr>
        <w:spacing w:after="0" w:line="336" w:lineRule="exact"/>
        <w:rPr>
          <w:sz w:val="20"/>
          <w:szCs w:val="20"/>
          <w:color w:val="auto"/>
        </w:rPr>
      </w:pPr>
    </w:p>
    <w:p>
      <w:pPr>
        <w:ind w:left="300" w:right="440"/>
        <w:spacing w:after="0" w:line="424" w:lineRule="auto"/>
        <w:rPr>
          <w:sz w:val="20"/>
          <w:szCs w:val="20"/>
          <w:color w:val="auto"/>
        </w:rPr>
      </w:pPr>
      <w:r>
        <w:rPr>
          <w:rFonts w:ascii="Times New Roman" w:cs="Times New Roman" w:eastAsia="Times New Roman" w:hAnsi="Times New Roman"/>
          <w:sz w:val="17"/>
          <w:szCs w:val="17"/>
          <w:color w:val="auto"/>
        </w:rPr>
        <w:t>“mass market table games operations” “MICE”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rolling”</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“non-negotiable 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“non-rolling 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“occupancy rate”</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“premium direct player”</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“progressive jackpot”</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“revenue per available room” or “REVPAR”</w:t>
      </w:r>
    </w:p>
    <w:p>
      <w:pPr>
        <w:spacing w:after="0" w:line="200" w:lineRule="exact"/>
        <w:rPr>
          <w:sz w:val="20"/>
          <w:szCs w:val="20"/>
          <w:color w:val="auto"/>
        </w:rPr>
      </w:pPr>
    </w:p>
    <w:p>
      <w:pPr>
        <w:spacing w:after="0" w:line="336" w:lineRule="exact"/>
        <w:rPr>
          <w:sz w:val="20"/>
          <w:szCs w:val="20"/>
          <w:color w:val="auto"/>
        </w:rPr>
      </w:pPr>
    </w:p>
    <w:p>
      <w:pPr>
        <w:ind w:left="300" w:right="620"/>
        <w:spacing w:after="0" w:line="424" w:lineRule="auto"/>
        <w:rPr>
          <w:sz w:val="20"/>
          <w:szCs w:val="20"/>
          <w:color w:val="auto"/>
        </w:rPr>
      </w:pPr>
      <w:r>
        <w:rPr>
          <w:rFonts w:ascii="Times New Roman" w:cs="Times New Roman" w:eastAsia="Times New Roman" w:hAnsi="Times New Roman"/>
          <w:sz w:val="17"/>
          <w:szCs w:val="17"/>
          <w:color w:val="auto"/>
        </w:rPr>
        <w:t>“rolling chip” or “VIP rolling chip” “rolling chip patron”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operations”</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volume”</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win rate”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“slot machine”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mass market table games win (calculated before discounts, commissions, other incentives and allocating casino revenues related to goods and services provided to gaming patrons on a complimentary basis) as a percentage of mass market table games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-963930</wp:posOffset>
            </wp:positionV>
            <wp:extent cx="7178675"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mass market operations consisting of mass market patrons who play table games</w:t>
      </w:r>
    </w:p>
    <w:p>
      <w:pPr>
        <w:spacing w:after="0" w:line="118"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Meetings, Incentives, Conventions and Exhibitions, an acronym commonly used to refer to tourism involving large groups brought together for an event or specific purpose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turnover in a non-negotiable chip game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promotional casino chip that is not to be exchanged for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chip that can be exchanged for cash, used by mass market patrons to make wagers</w:t>
      </w:r>
    </w:p>
    <w:p>
      <w:pPr>
        <w:spacing w:after="0" w:line="118" w:lineRule="exact"/>
        <w:rPr>
          <w:sz w:val="20"/>
          <w:szCs w:val="20"/>
          <w:color w:val="auto"/>
        </w:rPr>
      </w:pPr>
    </w:p>
    <w:p>
      <w:pPr>
        <w:jc w:val="both"/>
        <w:ind w:right="140"/>
        <w:spacing w:after="0" w:line="295" w:lineRule="auto"/>
        <w:rPr>
          <w:sz w:val="20"/>
          <w:szCs w:val="20"/>
          <w:color w:val="auto"/>
        </w:rPr>
      </w:pP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4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a rolling chip patron who is a direct customer of the gaming operator and is attracted to the casino through marketing efforts of the gaming operator</w:t>
      </w:r>
    </w:p>
    <w:p>
      <w:pPr>
        <w:spacing w:after="0" w:line="42"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57"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available, thereby representing a combination of hotel average daily room rates and occupancy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non-negotiable chip primarily used by rolling chip patrons to make wagers</w:t>
      </w:r>
    </w:p>
    <w:p>
      <w:pPr>
        <w:spacing w:after="0" w:line="118"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a player who primarily plays on rolling chip or VIP rolling chip tables and typically plays for higher stakes than mass market patrons</w:t>
      </w:r>
    </w:p>
    <w:p>
      <w:pPr>
        <w:spacing w:after="0" w:line="4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consists of table games played in areas designated for rolling chip patrons who are either premium direct players or junket players</w:t>
      </w:r>
    </w:p>
    <w:p>
      <w:pPr>
        <w:spacing w:after="0" w:line="42" w:lineRule="exact"/>
        <w:rPr>
          <w:sz w:val="20"/>
          <w:szCs w:val="20"/>
          <w:color w:val="auto"/>
        </w:rPr>
      </w:pPr>
    </w:p>
    <w:p>
      <w:pPr>
        <w:ind w:right="540"/>
        <w:spacing w:after="0" w:line="295" w:lineRule="auto"/>
        <w:rPr>
          <w:sz w:val="20"/>
          <w:szCs w:val="20"/>
          <w:color w:val="auto"/>
        </w:rPr>
      </w:pPr>
      <w:r>
        <w:rPr>
          <w:rFonts w:ascii="Times New Roman" w:cs="Times New Roman" w:eastAsia="Times New Roman" w:hAnsi="Times New Roman"/>
          <w:sz w:val="17"/>
          <w:szCs w:val="17"/>
          <w:color w:val="auto"/>
        </w:rPr>
        <w:t>the amount of non-negotiable chips net buy in plus the amount of cash chips converted to non-negotiable chips</w:t>
      </w:r>
    </w:p>
    <w:p>
      <w:pPr>
        <w:spacing w:after="0" w:line="42"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7"/>
          <w:szCs w:val="17"/>
          <w:color w:val="auto"/>
        </w:rPr>
        <w:t>rolling chip table games win (calculated before discounts, commissions, other incentives and allocating casino revenues related to goods and services provided to gaming patrons on a complimentary basis) as a percentage of rolling chip volume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slot or electronic gaming machine operated by a single player</w:t>
      </w:r>
    </w:p>
    <w:p>
      <w:pPr>
        <w:spacing w:after="0" w:line="1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an agreement for the operation of games of fortune and chance in casinos between the entity holding the concession, or the concessionaire, and a subconcessionaire, pursuant to which the subconcessionaire has been or may be authorized to operate games of fortune and chance in casinos in Macau</w:t>
      </w:r>
    </w:p>
    <w:p>
      <w:pPr>
        <w:spacing w:after="0" w:line="3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2">
            <w:col w:w="3400" w:space="420"/>
            <w:col w:w="7120"/>
          </w:cols>
          <w:pgMar w:left="320" w:top="472" w:right="6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38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10"/>
        </w:trPr>
        <w:tc>
          <w:tcPr>
            <w:tcW w:w="2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“table games win”</w:t>
            </w:r>
          </w:p>
        </w:tc>
        <w:tc>
          <w:tcPr>
            <w:tcW w:w="81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the amount of wagers won net of wagers lost on gaming tables that is retained and recorded as casino</w:t>
            </w:r>
          </w:p>
        </w:tc>
      </w:tr>
      <w:tr>
        <w:trPr>
          <w:trHeight w:val="209"/>
        </w:trPr>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1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revenues. Table games win is calculated before discounts, commissions, other incentives and</w:t>
            </w:r>
          </w:p>
        </w:tc>
      </w:tr>
      <w:tr>
        <w:trPr>
          <w:trHeight w:val="209"/>
        </w:trPr>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1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allocating casino revenues related to goods and services provided to gaming patrons on a</w:t>
            </w:r>
          </w:p>
        </w:tc>
      </w:tr>
      <w:tr>
        <w:trPr>
          <w:trHeight w:val="227"/>
        </w:trPr>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1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complimentary basis</w:t>
            </w:r>
          </w:p>
        </w:tc>
      </w:tr>
      <w:tr>
        <w:trPr>
          <w:trHeight w:val="353"/>
        </w:trPr>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18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9</w:t>
            </w:r>
          </w:p>
        </w:tc>
      </w:tr>
    </w:tbl>
    <w:p>
      <w:pPr>
        <w:ind w:left="2880"/>
        <w:spacing w:after="0"/>
        <w:rPr>
          <w:sz w:val="20"/>
          <w:szCs w:val="20"/>
          <w:color w:val="auto"/>
        </w:rPr>
        <w:sectPr>
          <w:pgSz w:w="11900" w:h="16838" w:orient="portrait"/>
          <w:cols w:equalWidth="0" w:num="1">
            <w:col w:w="10880"/>
          </w:cols>
          <w:pgMar w:left="320" w:top="467" w:right="6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20"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across various geographies including Macau, the Philippines and Cyprus, new risk factors may emerge from time to time and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74" w:lineRule="exact"/>
        <w:rPr>
          <w:sz w:val="20"/>
          <w:szCs w:val="20"/>
          <w:color w:val="auto"/>
        </w:rPr>
      </w:pPr>
    </w:p>
    <w:p>
      <w:pPr>
        <w:ind w:left="300" w:right="140" w:firstLine="960"/>
        <w:spacing w:after="0" w:line="268" w:lineRule="auto"/>
        <w:rPr>
          <w:sz w:val="20"/>
          <w:szCs w:val="20"/>
          <w:color w:val="auto"/>
        </w:rPr>
      </w:pPr>
      <w:r>
        <w:rPr>
          <w:rFonts w:ascii="Times New Roman" w:cs="Times New Roman" w:eastAsia="Times New Roman" w:hAnsi="Times New Roman"/>
          <w:sz w:val="17"/>
          <w:szCs w:val="17"/>
          <w:color w:val="auto"/>
        </w:rPr>
        <w:t>In some cases, forward-looking statements can be identified by words or phrases such as “may,” “will,” “expect,” “anticipate,” “target,”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290" w:lineRule="exact"/>
        <w:rPr>
          <w:sz w:val="20"/>
          <w:szCs w:val="20"/>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goals and strategies;</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domestic or global political and economic conditions, including in China, which may impact levels of travel, leisure and consumer spending;</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operate our casinos;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or maintain all required governmental approvals, authorizations and licenses for our operations;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conditions and covenants under the existing and future indebtedness;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and credit market volatility;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if and when required;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development, results of operations and financial condition;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gaming and leisure market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liberalization of travel restrictions on mainland China citizens and convertibility of the Renminbi;</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tightened control of certain cross-border fund transfers from China;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credit for gaming patrons;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tourist behavior related to spending and vacationing at casino resorts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risks including misappropriation of customer information or other breaches of information security;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occupancy rates and average daily room rates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develop new technologies and/or upgrade our existing technologies;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rights;</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20"/>
          </w:cols>
          <w:pgMar w:left="320" w:top="472"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18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casino hotel and resort projects in Macau and elsewhere in Asia, including the other concessionaires in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new projects and new ventures that we may pursue in or outside of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cost estimates and completion time estimates for our development projects, including projected variances from budgeted costs and timing;</w:t>
      </w:r>
    </w:p>
    <w:p>
      <w:pPr>
        <w:spacing w:after="0" w:line="55"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laws and regulations relating to the leisure and gaming industry, including the implementation of the amended gaming law in Macau, and the legalization of gaming in other jurisdictions;</w:t>
      </w:r>
    </w:p>
    <w:p>
      <w:pPr>
        <w:spacing w:after="0" w:line="55"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increased regulatory scrutiny on Macau gaming promoters’ operations that has resulted in the cessation of business by many gaming promoters in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infrastructure projects in Macau,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gain new customers;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new services and attractions;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changes in our revenues, costs or expenditures;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demand for our services and market acceptance of our brands and businesses;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reduced access to our target markets due to travel restrictions, and the potential long-term impact on customer retention;</w:t>
      </w:r>
    </w:p>
    <w:p>
      <w:pPr>
        <w:spacing w:after="0" w:line="131" w:lineRule="exact"/>
        <w:rPr>
          <w:rFonts w:ascii="Times New Roman" w:cs="Times New Roman" w:eastAsia="Times New Roman" w:hAnsi="Times New Roman"/>
          <w:sz w:val="17"/>
          <w:szCs w:val="17"/>
          <w:color w:val="auto"/>
        </w:rPr>
      </w:pPr>
    </w:p>
    <w:p>
      <w:pPr>
        <w:ind w:left="1240" w:right="80" w:hanging="530"/>
        <w:spacing w:after="0" w:line="276"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the travel and leisure industry from factors such as an outbreak of an infectious disease, such as the COVID-19 pandemic or the period of time required for tourism to return to pre-pandemic levels, extreme weather patterns or natural disasters, military conflicts and any future security alerts and/or terrorist attacks or other acts of violence;</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current and future litigation;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described under “Item 3. Key Information — D. Risk Factors.”</w:t>
      </w:r>
    </w:p>
    <w:p>
      <w:pPr>
        <w:spacing w:after="0" w:line="223"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940"/>
          </w:cols>
          <w:pgMar w:left="320" w:top="472"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EXCHANGE RATE INFORMATION</w:t>
      </w:r>
    </w:p>
    <w:p>
      <w:pPr>
        <w:spacing w:after="0" w:line="225"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majority of our current revenues are denominated in H.K. dollars, whereas our current expenses are denominated predominantly in Patacas, H.K. dollars, the Philippine peso, the Euros and the Sri Lankan rupees. Unless otherwise noted, all translations from H.K. dollars to U.S. dollars and from U.S. dollars to H.K. dollars in this annual report on Form 20-F were made at a rate of HK$7.781193 to US$1.00.</w:t>
      </w:r>
    </w:p>
    <w:p>
      <w:pPr>
        <w:spacing w:after="0" w:line="162" w:lineRule="exact"/>
        <w:rPr>
          <w:sz w:val="20"/>
          <w:szCs w:val="20"/>
          <w:color w:val="auto"/>
        </w:rPr>
      </w:pPr>
    </w:p>
    <w:p>
      <w:pPr>
        <w:ind w:left="300" w:right="80" w:firstLine="960"/>
        <w:spacing w:after="0" w:line="268"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381" w:lineRule="exact"/>
        <w:rPr>
          <w:sz w:val="20"/>
          <w:szCs w:val="20"/>
          <w:color w:val="auto"/>
        </w:rPr>
      </w:pPr>
    </w:p>
    <w:p>
      <w:pPr>
        <w:ind w:left="300" w:right="20" w:firstLine="960"/>
        <w:spacing w:after="0" w:line="265" w:lineRule="auto"/>
        <w:rPr>
          <w:sz w:val="20"/>
          <w:szCs w:val="20"/>
          <w:color w:val="auto"/>
        </w:rPr>
      </w:pPr>
      <w:r>
        <w:rPr>
          <w:rFonts w:ascii="Times New Roman" w:cs="Times New Roman" w:eastAsia="Times New Roman" w:hAnsi="Times New Roman"/>
          <w:sz w:val="17"/>
          <w:szCs w:val="17"/>
          <w:color w:val="auto"/>
        </w:rPr>
        <w:t>The Pataca is pegged to the H.K. dollar at a rate of HK$1.00 to MOP1.03. All translations from Patacas to U.S. dollars in this annual report on Form 20-F were made at the exchange rate of MOP8.014619 to US$1.00. This annual report on Form 20-F also contains translations of certain Renminbi, Euro, Philippine peso, Singapore dollar and Sri Lankan rupee amounts into U.S. dollars. Unless otherwise stated, all translations from Renminbi, Euros, Philippine pesos, Singapore dollars and Sri Lankan rupees to U.S. dollars in this annual report on Form 20-F were made at RMB6.997362 to US$1.00, EUR0.849959 to US$1.00, PHP58.868547 to US$1.00, SGD1.283837 to US$1.00 and LKR310.077519 to US$1.00, respectively.</w:t>
      </w:r>
    </w:p>
    <w:p>
      <w:pPr>
        <w:spacing w:after="0" w:line="384"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We make no representation that any RMB, EUR, PHP, SGD, LKR or U.S. dollar amounts could have been, or could be, converted into U.S. dollars or RMB or EUR or PHP or SGD or LKR, as the case may be, at any particular rate or at all.</w:t>
      </w:r>
    </w:p>
    <w:p>
      <w:pPr>
        <w:spacing w:after="0" w:line="147"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ectPr>
          <w:pgSz w:w="11900" w:h="16838" w:orient="portrait"/>
          <w:cols w:equalWidth="0" w:num="1">
            <w:col w:w="10940"/>
          </w:cols>
          <w:pgMar w:left="320" w:top="47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IDENTITY OF DIRECTORS, SENIOR MANAGEMENT AND ADVISERS</w:t>
      </w:r>
    </w:p>
    <w:p>
      <w:pPr>
        <w:spacing w:after="0" w:line="120" w:lineRule="exact"/>
        <w:rPr>
          <w:sz w:val="20"/>
          <w:szCs w:val="20"/>
          <w:color w:val="auto"/>
        </w:rPr>
      </w:pPr>
    </w:p>
    <w:p>
      <w:pPr>
        <w:sectPr>
          <w:pgSz w:w="11900" w:h="16838" w:orient="portrait"/>
          <w:cols w:equalWidth="0" w:num="2">
            <w:col w:w="920" w:space="440"/>
            <w:col w:w="9580"/>
          </w:cols>
          <w:pgMar w:left="320" w:top="472" w:right="6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40"/>
          </w:cols>
          <w:pgMar w:left="320" w:top="472" w:right="639" w:bottom="1440" w:gutter="0" w:footer="0" w:header="0"/>
          <w:type w:val="continuous"/>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20" w:lineRule="exact"/>
        <w:rPr>
          <w:sz w:val="20"/>
          <w:szCs w:val="20"/>
          <w:color w:val="auto"/>
        </w:rPr>
      </w:pPr>
    </w:p>
    <w:p>
      <w:pPr>
        <w:sectPr>
          <w:pgSz w:w="11900" w:h="16838" w:orient="portrait"/>
          <w:cols w:equalWidth="0" w:num="2">
            <w:col w:w="920" w:space="440"/>
            <w:col w:w="9580"/>
          </w:cols>
          <w:pgMar w:left="320" w:top="472" w:right="6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940"/>
          </w:cols>
          <w:pgMar w:left="320" w:top="472"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3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A. [RESERVED]</w:t>
      </w:r>
    </w:p>
    <w:p>
      <w:pPr>
        <w:spacing w:after="0" w:line="200" w:lineRule="exact"/>
        <w:rPr>
          <w:sz w:val="20"/>
          <w:szCs w:val="20"/>
          <w:color w:val="auto"/>
        </w:rPr>
      </w:pPr>
    </w:p>
    <w:p>
      <w:pPr>
        <w:spacing w:after="0" w:line="2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B. CAPITALIZATION AND INDEBTEDNESS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7"/>
          <w:szCs w:val="17"/>
          <w:b w:val="1"/>
          <w:bCs w:val="1"/>
          <w:color w:val="auto"/>
        </w:rPr>
        <w:t>C. REASONS FOR THE OFFER AND USE OF PROCEEDS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139"/>
          </w:cols>
          <w:pgMar w:left="320" w:top="47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RISK FACTORS</w:t>
      </w:r>
    </w:p>
    <w:p>
      <w:pPr>
        <w:spacing w:after="0" w:line="120" w:lineRule="exact"/>
        <w:rPr>
          <w:sz w:val="20"/>
          <w:szCs w:val="20"/>
          <w:color w:val="auto"/>
        </w:rPr>
      </w:pPr>
    </w:p>
    <w:p>
      <w:pPr>
        <w:ind w:left="300" w:right="580" w:firstLine="960"/>
        <w:spacing w:after="0" w:line="295" w:lineRule="auto"/>
        <w:rPr>
          <w:sz w:val="20"/>
          <w:szCs w:val="20"/>
          <w:color w:val="auto"/>
        </w:rPr>
      </w:pPr>
      <w:r>
        <w:rPr>
          <w:rFonts w:ascii="Times New Roman" w:cs="Times New Roman" w:eastAsia="Times New Roman" w:hAnsi="Times New Roman"/>
          <w:sz w:val="17"/>
          <w:szCs w:val="17"/>
          <w:color w:val="auto"/>
        </w:rPr>
        <w:t>Melco Resorts is a Cayman Islands holding company. All of our current operations, and administrative and corporate functions are conducted in Macau, Hong Kong, Singapore, the Philippines, Cyprus and Sri Lanka.</w:t>
      </w:r>
    </w:p>
    <w:p>
      <w:pPr>
        <w:spacing w:after="0" w:line="147"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We conduct our operations primarily in Macau, as well as in the Philippines, Cyprus and Sri Lanka. Our principal executive offices are located in Singapore and Hong Kong. Our operations in mainland China are currently limited to a wholly-owned subsidiary that hosts the domain names of our mainland China websites and other online platforms which promote our non-gaming amenities in mainland China, and we do not have any material assets or operations in mainland China. We have no variable interest entities in our corporate structure.</w:t>
      </w:r>
    </w:p>
    <w:p>
      <w:pPr>
        <w:spacing w:after="0" w:line="169"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 a company primarily operating in Macau, the Philippines, Cyprus and Sri Lanka. Since we derive a significant majority of our revenues from our Macau business and a significant number of our customers come from, and are expected to continue to come from, China, our results of operations and financial condition may be materially and adversely affected by significant regulatory developments in China. Actions by the PRC government can also significantly affect our business by, for example, placing limits on the ability of China residents to travel or remit currency or by restricting gaming-related marketing activities in China. See “Item 3. Key Information — D. Risk Factors — Risks Relating to Our Business and Operations — Policies, campaigns and measures adopted by the PRC and/or Macau governments from time to time could materially and adversely affect our operations.”</w:t>
      </w:r>
    </w:p>
    <w:p>
      <w:pPr>
        <w:spacing w:after="0" w:line="173"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The legal and operational risks associated with operating in mainland China may also apply to our operations in Hong Kong and Macau. The PRC government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Additionally, the PRC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 Risks Relating to Our Business and Operations — Changes in laws, regulations and policies in China and uncertainties in the legal systems in China may expose us to risks. In addition, rules and regulations in China can change quickly with little advance notice” and “— The PRC government may influence our operations or impact our offerings conducted overseas or foreign investments in us. Its oversight and discretion over our business could result in material changes in our operations and the value of our ordinary shares and ADSs.”</w:t>
      </w:r>
    </w:p>
    <w:p>
      <w:pPr>
        <w:spacing w:after="0" w:line="180" w:lineRule="exact"/>
        <w:rPr>
          <w:sz w:val="20"/>
          <w:szCs w:val="20"/>
          <w:color w:val="auto"/>
        </w:rPr>
      </w:pPr>
    </w:p>
    <w:p>
      <w:pPr>
        <w:ind w:left="300" w:right="480" w:firstLine="960"/>
        <w:spacing w:after="0" w:line="276" w:lineRule="auto"/>
        <w:rPr>
          <w:sz w:val="20"/>
          <w:szCs w:val="20"/>
          <w:color w:val="auto"/>
        </w:rPr>
      </w:pPr>
      <w:r>
        <w:rPr>
          <w:rFonts w:ascii="Times New Roman" w:cs="Times New Roman" w:eastAsia="Times New Roman" w:hAnsi="Times New Roman"/>
          <w:sz w:val="17"/>
          <w:szCs w:val="17"/>
          <w:color w:val="auto"/>
        </w:rPr>
        <w:t>We also face risks associated with interpretations of or changes to gaming laws in the markets in which we operate, including the interpretation of the amended gaming law in Macau, as well as the continued ability by the U.S. Public Company Accounting Oversight Board, or PCAOB, to inspect our auditors.</w:t>
      </w:r>
    </w:p>
    <w:p>
      <w:pPr>
        <w:spacing w:after="0" w:line="265" w:lineRule="exact"/>
        <w:rPr>
          <w:sz w:val="20"/>
          <w:szCs w:val="20"/>
          <w:color w:val="auto"/>
        </w:rPr>
      </w:pPr>
    </w:p>
    <w:p>
      <w:pPr>
        <w:ind w:left="300" w:right="280"/>
        <w:spacing w:after="0" w:line="298" w:lineRule="auto"/>
        <w:rPr>
          <w:sz w:val="20"/>
          <w:szCs w:val="20"/>
          <w:color w:val="auto"/>
        </w:rPr>
      </w:pPr>
      <w:r>
        <w:rPr>
          <w:rFonts w:ascii="Times New Roman" w:cs="Times New Roman" w:eastAsia="Times New Roman" w:hAnsi="Times New Roman"/>
          <w:sz w:val="17"/>
          <w:szCs w:val="17"/>
          <w:b w:val="1"/>
          <w:bCs w:val="1"/>
          <w:color w:val="auto"/>
        </w:rPr>
        <w:t>Permissions, Approvals, Licenses, Certificates and Permits Required from PRC Authorities for Our Operations and for the Offering of Our Securities to Foreign Investors</w:t>
      </w:r>
    </w:p>
    <w:p>
      <w:pPr>
        <w:spacing w:after="0" w:line="39"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As of the date of this annual report, we have obtained the requisite permissions, approvals, licenses, certificates and permits from PRC government authorities that are material for our business operations in those jurisdictions, including in particular our gaming concession in Macau which is required to operate gaming operations in that jurisdiction, and none have been denied. See “Item 4. Information on the Company — B. Business Overview — Regulations” for a detailed discussion on the concession in Macau.</w:t>
      </w:r>
    </w:p>
    <w:p>
      <w:pPr>
        <w:spacing w:after="0" w:line="169" w:lineRule="exact"/>
        <w:rPr>
          <w:sz w:val="20"/>
          <w:szCs w:val="20"/>
          <w:color w:val="auto"/>
        </w:rPr>
      </w:pPr>
    </w:p>
    <w:p>
      <w:pPr>
        <w:ind w:left="300" w:right="800" w:firstLine="960"/>
        <w:spacing w:after="0" w:line="295" w:lineRule="auto"/>
        <w:rPr>
          <w:sz w:val="20"/>
          <w:szCs w:val="20"/>
          <w:color w:val="auto"/>
        </w:rPr>
      </w:pPr>
      <w:r>
        <w:rPr>
          <w:rFonts w:ascii="Times New Roman" w:cs="Times New Roman" w:eastAsia="Times New Roman" w:hAnsi="Times New Roman"/>
          <w:sz w:val="17"/>
          <w:szCs w:val="17"/>
          <w:color w:val="auto"/>
        </w:rPr>
        <w:t>Given the uncertainties of interpretation and implementation of relevant laws and regulations and enforcement practice by PRC government authorities, we may be required to obtain additional licenses, permits,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940"/>
          </w:cols>
          <w:pgMar w:left="320" w:top="472"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Furthermore, in connection with an issuance of securities to foreign investors, under current PRC laws, regulations and regulatory rules, as of the date of this annual report, we do not believe we would currently be required to obtain permissions from or complete any filing with the China Securities Regulatory Commission, or the CSRC, or required to go through cybersecurity review by the Cyberspace Administration of China, or the CAC. In addition, we have not been asked to obtain such permissions by any PRC authority or received any denial to do so. However, the PRC government has in the past made statements indicating an intent to exert more oversight and control over offerings that are conducted overseas and/or foreign investment in China-based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73"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If (i) (a) we incorrectly conclude that certain regulatory permissions and approvals are not required or (b) applicable laws, regulations, or interpretations change in a way that requires us to complete such filings or obtain such approvals in the future, and (ii)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120"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Cash from financing and operations is primarily retained by our operating subsidiaries for the purposes of funding our operating activities, capital expenditures and investing activities. Cash from financing and operations within our group is primarily transferred between our subsidiaries through intercompany loan arrangements or equity capital contributions. In 2025, excluding cash transferred for the purpose of the settlement of intragroup charges for operating activities, cash transferred to our holding company, Melco Resorts, from its subsidiaries for repayment of advances amounted to US$2.9 million, while cash transferred from our holding company to its subsidiaries in the form of advances amounted to US$19.7 million. Dividend payments of US$20.0 million were received from our Macau operating subsidiary in 2025, and no dividend payments were made to our shareholders in 2025, including holders of our ordinary shares with an address of record known to us to be in the United States (which includes all holders of our ADSs, which are traded on Nasdaq in the United States). See also “Item 4. Information on the Company — B. Business Overview — Tax”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Melco Resorts Macau must notify the Chief Executive of Macau five business days in advance of any decision related to dividend distribution in an amount greater than MOP500 million (equivalent to approximately US$62.4 million), seek Macau government consent to grant or receive any loan in the amount of MOP100 million (equivalent to approximately US$12.5 million) and our subsidiaries incorporated in Macau are required to set aside a specified amount of the entity’s profit after tax as a legal reserve which is not distributable to the shareholders of such subsidiaries and authorization is required in the Philippines for inward and outward transfers of Philippine pesos above a certain amount. See “Item 4. Information on the Company — B. Business Overview — Regulations — Macau Regulations — Restrictions on Distribution of Profits Regulations” and “Item 10. Additional Information — D. Exchange Controls.”</w:t>
      </w:r>
    </w:p>
    <w:p>
      <w:pPr>
        <w:spacing w:after="0" w:line="3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940"/>
          </w:cols>
          <w:pgMar w:left="320" w:top="472"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board will continue to review from time to time our dividend policy as part of our commitment to maximizing shareholder value, taking into consideration our financial performance and market conditions. We cannot assure you that we will make any dividend payments on our shares in the future. Except as permitted under the Companies Act ( as amended) of the Cayman Islands, or the Companies Act,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MRM 2015 Credit Facilities, Studio City Notes, SCC 2021 Credit Facilities, SCC 2024 Revolving Facilities and other agreements governing indebtedness we and our subsidiaries may incur. For more details, see “Item 3. Key Information — D. Risk Factors — Risks Relating to Our Shares and ADSs — We cannot assure you that we will make dividend payments in the future” and “— Item 5. Operating and Financial Review and Prospects — B. Liquidity and Capital Resources — Indebtedness.”</w:t>
      </w:r>
    </w:p>
    <w:p>
      <w:pPr>
        <w:spacing w:after="0" w:line="178"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w:t>
      </w:r>
    </w:p>
    <w:p>
      <w:pPr>
        <w:spacing w:after="0" w:line="16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Business and Operations</w:t>
      </w:r>
    </w:p>
    <w:p>
      <w:pPr>
        <w:spacing w:after="0" w:line="133" w:lineRule="exact"/>
        <w:rPr>
          <w:sz w:val="20"/>
          <w:szCs w:val="20"/>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generating a substantial portion of revenues and cash from Macau and the Philippines.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operating in a highly regulated industry.</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regional political, social, economic and legal and regulatory risks in Macau, the Philippines and Cyprus, and uncertainties in the legal systems in China.</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inadequate transportation infrastructure that may hinder increase in visitation to our properties.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natural disasters and extreme weather phenomena.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facing intense competition.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dependence on the continued efforts of our senior management and retaining qualified personnel.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inadequate insurance coverage.</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operating in the gaming industry, including risk of cheating and counterfeiting, inability to collect receivables from credit customers.</w:t>
      </w:r>
    </w:p>
    <w:p>
      <w:pPr>
        <w:spacing w:after="0" w:line="55"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mergers, acquisitions, strategic transactions, investments, divestments and developing new branded products or entering into new business lines.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fluctuations in currency exchange rates of currencies used in our business and availability of credit.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failure to comply with anti-corruption laws and anti-money laundering policies.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cybersecurity and failure to protect the integrity and security of data, including customer information.</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having a significant majority of operations in Macau, uncertainties in the legal systems in China, and policies, campaigns and measures adopted by the PRC and/or Macau governments from time to time.</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920"/>
          </w:cols>
          <w:pgMar w:left="320" w:top="472"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protection or alleged infringement of intellectual property rights.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environmental, social and governance and sustainability related concerns.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significant projects in various phases of development, including construction risks.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Macau</w:t>
      </w:r>
    </w:p>
    <w:p>
      <w:pPr>
        <w:spacing w:after="0" w:line="133" w:lineRule="exact"/>
        <w:rPr>
          <w:sz w:val="20"/>
          <w:szCs w:val="20"/>
          <w:color w:val="auto"/>
        </w:rPr>
      </w:pPr>
    </w:p>
    <w:p>
      <w:pPr>
        <w:ind w:left="1240" w:hanging="530"/>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Melco Resorts Macau’s Concession Contract.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restrictions on export of Renminbi.</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adverse changes or developments in gaming laws or other regulations in Macau.</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interpretation of the Macau gaming law amended in 2022 and related laws and their implementation by the Macau government.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Related to Operating in the Gaming Industry in the Philippines</w:t>
      </w:r>
    </w:p>
    <w:p>
      <w:pPr>
        <w:spacing w:after="0" w:line="133" w:lineRule="exact"/>
        <w:rPr>
          <w:sz w:val="20"/>
          <w:szCs w:val="20"/>
          <w:color w:val="auto"/>
        </w:rPr>
      </w:pPr>
    </w:p>
    <w:p>
      <w:pPr>
        <w:ind w:left="1240" w:hanging="530"/>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tenancy relationships as the land and buildings comprising the site of City of Dreams Manila are leased.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regulatory requirements for and restrictions on the operation of City of Dreams Manila.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a suspension of VIP gaming operations at City of Dreams Manila under certain circumstances.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Cyprus</w:t>
      </w:r>
    </w:p>
    <w:p>
      <w:pPr>
        <w:spacing w:after="0" w:line="133" w:lineRule="exact"/>
        <w:rPr>
          <w:sz w:val="20"/>
          <w:szCs w:val="20"/>
          <w:color w:val="auto"/>
        </w:rPr>
      </w:pPr>
    </w:p>
    <w:p>
      <w:pPr>
        <w:ind w:left="1240" w:hanging="530"/>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short operating history in Cyprus.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continued cooperation of The Cyprus Phassouri (Zakaki) Limited for the operation of City of Dreams Mediterranean and the Cyprus Casinos.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regulatory requirements for and restrictions on our operations in Cyprus.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Other Jurisdictions that We Operate</w:t>
      </w:r>
    </w:p>
    <w:p>
      <w:pPr>
        <w:spacing w:after="0" w:line="133" w:lineRule="exact"/>
        <w:rPr>
          <w:sz w:val="20"/>
          <w:szCs w:val="20"/>
          <w:color w:val="auto"/>
        </w:rPr>
      </w:pPr>
    </w:p>
    <w:p>
      <w:pPr>
        <w:ind w:left="1240" w:hanging="530"/>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continued cooperation of John Keells Holdings PLC (“John Keells”) for our operations in Sri Lanka.</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regulatory requirements for and restrictions on our operations in Sri Lanka.</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Corporate Structure and Ownership</w:t>
      </w:r>
    </w:p>
    <w:p>
      <w:pPr>
        <w:spacing w:after="0" w:line="133" w:lineRule="exact"/>
        <w:rPr>
          <w:sz w:val="20"/>
          <w:szCs w:val="20"/>
          <w:color w:val="auto"/>
        </w:rPr>
      </w:pPr>
    </w:p>
    <w:p>
      <w:pPr>
        <w:ind w:left="1240" w:hanging="530"/>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substantial influence our controlling shareholder has over 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competing with Melco International on casino projects.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SCI’s ability to remain in compliance with the New York Stock Exchange requirements for its continued listing.</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Financing and Indebtedness</w:t>
      </w:r>
    </w:p>
    <w:p>
      <w:pPr>
        <w:spacing w:after="0" w:line="133" w:lineRule="exact"/>
        <w:rPr>
          <w:sz w:val="20"/>
          <w:szCs w:val="20"/>
          <w:color w:val="auto"/>
        </w:rPr>
      </w:pPr>
    </w:p>
    <w:p>
      <w:pPr>
        <w:ind w:left="5540" w:right="1860" w:hanging="4830"/>
        <w:spacing w:after="0" w:line="472" w:lineRule="auto"/>
        <w:tabs>
          <w:tab w:leader="none" w:pos="12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current, projected and potential future indebtedness and our need for additional financing. 17</w:t>
      </w:r>
    </w:p>
    <w:p>
      <w:pPr>
        <w:sectPr>
          <w:pgSz w:w="11900" w:h="16838" w:orient="portrait"/>
          <w:cols w:equalWidth="0" w:num="1">
            <w:col w:w="10800"/>
          </w:cols>
          <w:pgMar w:left="320" w:top="472"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inability to generate sufficient cash flow to meet our debt service obligations.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compliance with credit facilities and debt instruments.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Business and Operations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operating history of some of our businesses may not serve as an adequate basis to judge our future operating results and prospects.</w:t>
      </w:r>
    </w:p>
    <w:p>
      <w:pPr>
        <w:spacing w:after="0" w:line="122" w:lineRule="exact"/>
        <w:rPr>
          <w:sz w:val="20"/>
          <w:szCs w:val="20"/>
          <w:color w:val="auto"/>
        </w:rPr>
      </w:pPr>
    </w:p>
    <w:p>
      <w:pPr>
        <w:ind w:left="300" w:right="40" w:firstLine="960"/>
        <w:spacing w:after="0" w:line="273" w:lineRule="auto"/>
        <w:rPr>
          <w:sz w:val="20"/>
          <w:szCs w:val="20"/>
          <w:color w:val="auto"/>
        </w:rPr>
      </w:pPr>
      <w:r>
        <w:rPr>
          <w:rFonts w:ascii="Times New Roman" w:cs="Times New Roman" w:eastAsia="Times New Roman" w:hAnsi="Times New Roman"/>
          <w:sz w:val="17"/>
          <w:szCs w:val="17"/>
          <w:color w:val="auto"/>
        </w:rPr>
        <w:t>The operating history of some of our businesses is shorter than some of our competitors and therefore may not serve as an adequate basis for your evaluation of our business and prospects. For example, Studio City Phase 2 progressively opened in April and September of 2023, City of Dreams Mediterranean opened to the public in July 2023 and both the Sri Lanka Casino and Nüwa Sri Lanka opened to the public in the third quarter of 2025.</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face certain risks, expenses and challenges in operating gaming businesses in intensely competitive markets. Some of the risks relate to</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ability to:</w:t>
      </w:r>
    </w:p>
    <w:p>
      <w:pPr>
        <w:spacing w:after="0" w:line="113" w:lineRule="exact"/>
        <w:rPr>
          <w:sz w:val="20"/>
          <w:szCs w:val="20"/>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fulfill conditions precedent to draw down or roll over funds from current and future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economic uncertainties and global or regional health events;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covenants under our existing and future debt issuances and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additional capital, as required;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changing financing requirements;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support, expand and develop our operations and our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customers and qualified employees;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effective control of our operating costs and expenses;</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95"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internal personnel, systems, controls and procedures to assure compliance with the extensive regulatory requirements applicable to the gaming business as well as regulatory compliance as a public company;</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and/or deteriorating market conditions;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changes in our regulatory environment and government policies.</w:t>
      </w:r>
    </w:p>
    <w:p>
      <w:pPr>
        <w:spacing w:after="0" w:line="22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If we are unable to complete any of these tasks or successfully manage one or more of the risks,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which may result in a default under our existing or future financing facilities. If any of these events were to occur, it could cause a material adverse effect on our business and prospects, financial condition, results of operations and cash flows.</w:t>
      </w:r>
    </w:p>
    <w:p>
      <w:pPr>
        <w:spacing w:after="0" w:line="272"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a substantial portion of our cash flow from our properties in Macau and the Philippines and, to a lesser degree, Cyprus and, as a result, we are subject to greater risks than a gaming company which operates in more geographical regions.</w:t>
      </w:r>
    </w:p>
    <w:p>
      <w:pPr>
        <w:spacing w:after="0" w:line="38"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We are a parent company with limited business operations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w:t>
      </w:r>
    </w:p>
    <w:p>
      <w:pPr>
        <w:spacing w:after="0" w:line="162"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We primarily depend on our properties in Macau and City of Dreams Manila and, to a lesser degree, City of Dreams Mediterranean for our cash flow. Given that our operations are primarily conducted based on our</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940"/>
          </w:cols>
          <w:pgMar w:left="320" w:top="472"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right="340"/>
        <w:spacing w:after="0" w:line="276" w:lineRule="auto"/>
        <w:rPr>
          <w:sz w:val="20"/>
          <w:szCs w:val="20"/>
          <w:color w:val="auto"/>
        </w:rPr>
      </w:pPr>
      <w:r>
        <w:rPr>
          <w:rFonts w:ascii="Times New Roman" w:cs="Times New Roman" w:eastAsia="Times New Roman" w:hAnsi="Times New Roman"/>
          <w:sz w:val="17"/>
          <w:szCs w:val="17"/>
          <w:color w:val="auto"/>
        </w:rPr>
        <w:t>principal properties in Macau, one property in Manila and one property and three satellite casinos in Cyprus, we are subject to greater risks resulting from limited diversification of our businesses and sources of revenues as compared to gaming companies with more operating properties in various geographic regions. These risks include, but are not limited to:</w:t>
      </w:r>
    </w:p>
    <w:p>
      <w:pPr>
        <w:spacing w:after="0" w:line="70" w:lineRule="exact"/>
        <w:rPr>
          <w:sz w:val="20"/>
          <w:szCs w:val="20"/>
          <w:color w:val="auto"/>
        </w:rPr>
      </w:pPr>
    </w:p>
    <w:p>
      <w:pPr>
        <w:ind w:left="1240" w:right="12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Macau, PRC, Philippine and Cypriot laws and regulations, including gaming laws and regulations or interpretations thereof, as well as China travel and visa policies;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the gaming, tourism and leisure market in China, the Philippines and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diversification of businesses and sources of revenues;</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76"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air, land or ferry passenger traffic to Macau, the Philippines and Cyprus from China and other areas or countries due to higher ticket costs, fears concerning travel, travel restrictions or otherwise, including as a result of outbreaks of widespread health epidemics or pandemics;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economic and political conditions in China, the Philippines and Cyprus, Asia, Europe or the Middle East;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competition within the gaming industry in Macau, the Philippines, Cyprus or generally in Asia or Europe;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inaccessibility to Macau, the Philippines or Cyprus due to inclement weather, road construction or closure of primary access routes;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austerity measures imposed now or in the future by the governments in China or other countries in Asia or Europe;</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control of cross-border fund transfers, foreign exchange and/or anti-money laundering regulations or policies effected by the PRC, Macau, Philippine and/or Cyprus governments;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enforcement or legal measures taken by the PRC government to deter gaming activities and/or marketing thereof;</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and other disasters, including typhoons, earthquakes, volcano eruptions, outbreaks of infectious diseases, terrorism, violent criminal activities or other disruptions affecting Macau, the Philippines or Cyprus;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expected rate of increase or a decrease in the number of visitors to Macau, the Philippines or Cyprus;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relaxation of regulations on gaming laws in other regional economies that could compete with the Macau, Philippines and Cypriot markets;</w:t>
      </w:r>
    </w:p>
    <w:p>
      <w:pPr>
        <w:spacing w:after="0" w:line="131" w:lineRule="exact"/>
        <w:rPr>
          <w:rFonts w:ascii="Times New Roman" w:cs="Times New Roman" w:eastAsia="Times New Roman" w:hAnsi="Times New Roman"/>
          <w:sz w:val="17"/>
          <w:szCs w:val="17"/>
          <w:color w:val="auto"/>
        </w:rPr>
      </w:pPr>
    </w:p>
    <w:p>
      <w:pPr>
        <w:ind w:left="1240" w:right="220" w:hanging="530"/>
        <w:spacing w:after="0" w:line="295"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restrictions on growth of gaming markets, including policies on gaming table and electronic gaming machine allocation and caps;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gaming activities and other spending at our properties.</w:t>
      </w:r>
    </w:p>
    <w:p>
      <w:pPr>
        <w:spacing w:after="0" w:line="223" w:lineRule="exact"/>
        <w:rPr>
          <w:sz w:val="20"/>
          <w:szCs w:val="20"/>
          <w:color w:val="auto"/>
        </w:rPr>
      </w:pPr>
    </w:p>
    <w:p>
      <w:pPr>
        <w:ind w:left="300" w:right="500" w:firstLine="960"/>
        <w:spacing w:after="0" w:line="295" w:lineRule="auto"/>
        <w:rPr>
          <w:sz w:val="20"/>
          <w:szCs w:val="20"/>
          <w:color w:val="auto"/>
        </w:rPr>
      </w:pPr>
      <w:r>
        <w:rPr>
          <w:rFonts w:ascii="Times New Roman" w:cs="Times New Roman" w:eastAsia="Times New Roman" w:hAnsi="Times New Roman"/>
          <w:sz w:val="17"/>
          <w:szCs w:val="17"/>
          <w:color w:val="auto"/>
        </w:rPr>
        <w:t>Any of these developments or events could have a material adverse effect on our business, cash flows, financial condition, results of operations and prospects.</w:t>
      </w:r>
    </w:p>
    <w:p>
      <w:pPr>
        <w:spacing w:after="0" w:line="247" w:lineRule="exact"/>
        <w:rPr>
          <w:sz w:val="20"/>
          <w:szCs w:val="20"/>
          <w:color w:val="auto"/>
        </w:rPr>
      </w:pPr>
    </w:p>
    <w:p>
      <w:pPr>
        <w:ind w:left="300" w:right="4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renewal of a land concession is subject to compliance with certain legal requirements. In the event of any failure to meet such legal requirements, we could be forced to forfeit all or part of our investment in City of Dreams, along with our interest in the land on which City of Dreams is located and the building and structures on such land.</w:t>
      </w:r>
    </w:p>
    <w:p>
      <w:pPr>
        <w:spacing w:after="0" w:line="57" w:lineRule="exact"/>
        <w:rPr>
          <w:sz w:val="20"/>
          <w:szCs w:val="20"/>
          <w:color w:val="auto"/>
        </w:rPr>
      </w:pPr>
    </w:p>
    <w:p>
      <w:pPr>
        <w:ind w:left="300" w:right="440" w:firstLine="960"/>
        <w:spacing w:after="0" w:line="295" w:lineRule="auto"/>
        <w:rPr>
          <w:sz w:val="20"/>
          <w:szCs w:val="20"/>
          <w:color w:val="auto"/>
        </w:rPr>
      </w:pPr>
      <w:r>
        <w:rPr>
          <w:rFonts w:ascii="Times New Roman" w:cs="Times New Roman" w:eastAsia="Times New Roman" w:hAnsi="Times New Roman"/>
          <w:sz w:val="17"/>
          <w:szCs w:val="17"/>
          <w:color w:val="auto"/>
        </w:rPr>
        <w:t>Our subsidiaries have entered into land concession contracts for the land on which our City of Dreams, Studio City and Altira Macau properties are located. Land concessions in Macau are issued by the Macau</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960"/>
          </w:cols>
          <w:pgMar w:left="320" w:top="472"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95" w:lineRule="auto"/>
        <w:rPr>
          <w:sz w:val="20"/>
          <w:szCs w:val="20"/>
          <w:color w:val="auto"/>
        </w:rPr>
      </w:pPr>
      <w:r>
        <w:rPr>
          <w:rFonts w:ascii="Times New Roman" w:cs="Times New Roman" w:eastAsia="Times New Roman" w:hAnsi="Times New Roman"/>
          <w:sz w:val="17"/>
          <w:szCs w:val="17"/>
          <w:color w:val="auto"/>
        </w:rPr>
        <w:t>government and generally have terms of 25 years and are renewable for further consecutive periods of ten years, subject to compliance with certain legal and administrative requirements, including the registration of the definitive concession.</w:t>
      </w:r>
    </w:p>
    <w:p>
      <w:pPr>
        <w:spacing w:after="0" w:line="147"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In the event that we do not timely meet the legal and administrative requirements to enable the renewal of the land concession, we could lose all or substantially all of our investment in City of Dreams, including our interest in the land and building and may not be able to continue to operate City of Dreams as planned, which will materially and adversely affect our business and prospects, results of operations and financial condition. See also “Item 4. Information on the Company — B. Business Overview — Regulations — Macau Regulations — Land Regulations.”</w:t>
      </w:r>
    </w:p>
    <w:p>
      <w:pPr>
        <w:spacing w:after="0" w:line="270" w:lineRule="exact"/>
        <w:rPr>
          <w:sz w:val="20"/>
          <w:szCs w:val="20"/>
          <w:color w:val="auto"/>
        </w:rPr>
      </w:pPr>
    </w:p>
    <w:p>
      <w:pPr>
        <w:ind w:left="300" w:right="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Studio City Casino is operated by us through the Studio City Casino Agreement under our concession. Changes in Macau’s gaming law or the requirements applicable to the concession granted to us by the Macau government could necessitate amendments to or the termination of the Studio City Casino Agreement, which may have a material adverse effect on the operation of the Studio City Casino.</w:t>
      </w:r>
    </w:p>
    <w:p>
      <w:pPr>
        <w:spacing w:after="0" w:line="57"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Melco Resorts Macau and our subsidiary, Studio City Entertainment Limited, or Studio City Entertainment, have entered into the Studio City Casino Agreement since Studio City Entertainment does not hold a gaming license in Macau. Under such arrangements, Melco Resorts Macau operates Studio City Casino and pays gaming taxes and the costs incurred in connection with its on-going operations from Studio City Casino’s gross gaming revenues. Studio City Entertainment receives the residual amount and recognizes such residual amount as revenue arising from the Studio City Casino Agreement.</w:t>
      </w:r>
    </w:p>
    <w:p>
      <w:pPr>
        <w:spacing w:after="0" w:line="171"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Any changes in Macau’s gaming law or other requirements applicable to the concession granted to us by the Macau government that necessitate amendments to, or termination of, the Studio City Casino Agreement, may have a material adverse effect on the operation of the Studio City Casino and, in turn, affect our financial condition and results of operations.</w:t>
      </w:r>
    </w:p>
    <w:p>
      <w:pPr>
        <w:spacing w:after="0" w:line="158" w:lineRule="exact"/>
        <w:rPr>
          <w:sz w:val="20"/>
          <w:szCs w:val="20"/>
          <w:color w:val="auto"/>
        </w:rPr>
      </w:pPr>
    </w:p>
    <w:p>
      <w:pPr>
        <w:ind w:left="300" w:right="7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regional and global political, social and economic risks, as well as natural disasters, that may significantly affect visitations to our properties and have a material adverse effect on our results of operations.</w:t>
      </w:r>
    </w:p>
    <w:p>
      <w:pPr>
        <w:spacing w:after="0" w:line="38"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strength and profitability of our business depends on consumer demand for integrated resorts and leisure travel in general. Terrorist and violent criminal activities in Europe, the United States, South and Southeast Asia and elsewhere, the military conflict between Russia and Ukraine and conflicts in the Middle East, social events, natural disasters such as typhoons, tsunamis and earthquakes, and outbreaks of widespread health epidemics or pandemics have negatively affected and in the future may negatively affect travel and leisure expenditures, including lodging, gaming and tourism. We cannot predict the extent to which such acts or events may affect us, directly or indirectly, in the future. See also “— An outbreak of widespread health epidemics or pandemics, contagious disease or other outbreaks may have an adverse effect on the economies of affected countries or regions and may have a material adverse effect on our business, financial condition and results of operations” and “— 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w:t>
      </w:r>
    </w:p>
    <w:p>
      <w:pPr>
        <w:spacing w:after="0" w:line="174"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derive a significant majority of our revenues from our Macau business and a significant number of our customers come from, and are expected to continue to come from, China. Accordingly, our business is sensitive to the willingness and ability of our customers to travel, and our results of operations and financial condition may be materially and adversely affected by significant political, social and economic developments in China. In particular, our operating results may be adversely affected by:</w:t>
      </w:r>
    </w:p>
    <w:p>
      <w:pPr>
        <w:spacing w:after="0" w:line="78" w:lineRule="exact"/>
        <w:rPr>
          <w:sz w:val="20"/>
          <w:szCs w:val="20"/>
          <w:color w:val="auto"/>
        </w:rPr>
      </w:pPr>
    </w:p>
    <w:p>
      <w:pPr>
        <w:ind w:left="5540" w:right="1580" w:hanging="4830"/>
        <w:spacing w:after="0" w:line="472"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China’s political, economic and social conditions, including any slowdown in economic growth in China; 20</w:t>
      </w:r>
    </w:p>
    <w:p>
      <w:pPr>
        <w:sectPr>
          <w:pgSz w:w="11900" w:h="16838" w:orient="portrait"/>
          <w:cols w:equalWidth="0" w:num="1">
            <w:col w:w="10940"/>
          </w:cols>
          <w:pgMar w:left="320" w:top="472"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400" w:hanging="530"/>
        <w:spacing w:after="0" w:line="295" w:lineRule="auto"/>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tightening of travel or visa restrictions to, from or within China, such as due to outbreaks of infectious diseases, or austerity measures which may be imposed by the PRC government;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measures that may be introduced to control inflation, such as interest rate increases or bank account withdrawal controls;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tax laws and regulations.</w:t>
      </w:r>
    </w:p>
    <w:p>
      <w:pPr>
        <w:spacing w:after="0" w:line="22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For example, our business and operations are affected by the travel or visa restrictions imposed by China on its citizens from time to time. Even before the COVID-19 outbreak, the PRC government imposed restrictions on exit visas granted to resident citizens of mainland China for travel to Macau. The PRC government further restricts the number of days that resident citizens of mainland China may spend in Macau for certain types of travel. Such travel and visa restrictions, and any changes imposed by the PRC government from time to time, could disrupt the number of visitors from China to our properties.</w:t>
      </w:r>
    </w:p>
    <w:p>
      <w:pPr>
        <w:spacing w:after="0" w:line="171"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In addition, the demand for gaming activities and related services and luxury amenities that we provide through our operations is dependent on discretionary consumer spending and, as with other forms of entertainment, is susceptible to downturns in global and regional economic conditions. An economic downturn may reduce consumers’ willingness to travel and reduce their spending overseas, which would adversely impact us as we depend on visitors from China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An extended period of reduced discretionary spending and/or disruptions or declines in travel could materially and adversely affect our business, results of operations and financial condition.</w:t>
      </w:r>
    </w:p>
    <w:p>
      <w:pPr>
        <w:spacing w:after="0" w:line="174"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In addition, our business and results of operations may be materially and adversely affected by any changes in China’s economy, including any decrease in the pace of economic growth. Various factors have negatively impacted economic growth in China in recent years, including the government’s efforts to cool China’s housing market and disruptions caused by COVID-19 outbreaks, leading to reduced consumer discretionary budget and ultimately affecting their spending on travel and leisure. Moreover, China’s common prosperity drive, which was launched in 2021 and remains a long-term policy objective, aims to narrow the nation’s wealth gap by reducing wealth inequality. Any changes in the income tax rate or government policy which discourages consumption may affect the spending patterns of our patrons. All of these measures as well as a number of measures taken by the PRC government in recent years to control the rate of economic growth, including those designed to tighten credit and liquidity, may have contributed to the slowdown of China’s economy in recent years. According to preliminary estimates from the National Bureau of Statistics of China, mainland China’s GDP growth rate was 5.0% in 2025, which was in line with the 5.0% growth in 2024. China also set the GDP growth target at</w:t>
      </w:r>
    </w:p>
    <w:p>
      <w:pPr>
        <w:spacing w:after="0" w:line="1"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7"/>
          <w:szCs w:val="17"/>
          <w:color w:val="auto"/>
        </w:rPr>
        <w:t>4.5%-5.0% for 2026. Any slowdown in China’s future growth may have an adverse impact on financial markets, currency exchange rates and other economies, as well as the spending of visitors in Macau and our properties.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78"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and terrorism. Any future political or social instability in the Philippines could adversely affect the business operations and financial conditions of City of Dreams Manila.</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940"/>
          </w:cols>
          <w:pgMar w:left="320" w:top="472"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76" w:lineRule="auto"/>
        <w:rPr>
          <w:sz w:val="20"/>
          <w:szCs w:val="20"/>
          <w:color w:val="auto"/>
        </w:rPr>
      </w:pPr>
      <w:r>
        <w:rPr>
          <w:rFonts w:ascii="Times New Roman" w:cs="Times New Roman" w:eastAsia="Times New Roman" w:hAnsi="Times New Roman"/>
          <w:sz w:val="17"/>
          <w:szCs w:val="17"/>
          <w:color w:val="auto"/>
        </w:rPr>
        <w:t>Any changes in the policies of the government or laws or regulations, or in the interpretation or enforcement of these laws and regulations, such as anti-smoking policies or legislation, may negatively impact consumption patterns of visitors to City of Dreams Manila and could adversely affect our business operations and financial condition.</w:t>
      </w:r>
    </w:p>
    <w:p>
      <w:pPr>
        <w:spacing w:after="0" w:line="162"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69"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Our business in the Philippines also depends significantly on revenues from foreign visitors and will be affected by the development of Manila and the Philippines as a tourist and gaming destination. Such revenues from foreign visitors and development of Manila and the Philippines may be disrupted by events that reduce foreigners’ willingness to travel to or create substantial disruption in Metro Manila and raise substantial concerns about visitors’ personal safety, such as power outages, civil disturbances, terrorist attacks and outbreaks of widespread health epidemics or pandemics, among others. The Philippines has also experienced a significant number of major catastrophes over the years, including typhoons, volcanic eruptions and earthquakes, which have caused road closures and work stoppages in the affected areas as well as cancelation of flights.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 and that any such damage will be completely covered by insurance, if at all.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 Any of these occurrences may disrupt our operations in the Philippines.</w:t>
      </w:r>
    </w:p>
    <w:p>
      <w:pPr>
        <w:spacing w:after="0" w:line="177"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The subtropical climate and location of both Macau and the Philippines render them susceptible to typhoons, heavy rainstorms and other natural disasters, while Cyprus is also susceptible to heavy rainstorms and other natural disasters. In the event of a major typhoon, heavy rainstorms or other natural disasters in Macau, the Philippines or Cyprus, such as Typhoon Ragasa in Macau in September 2025, our properties may be severely damaged, our operations may be materially and adversely affected, and our properties may even be required to temporarily cease operations by regulatory authorities. Any flooding, unscheduled interruption in the technology or transportation services or interruption in the supply of public utilities is likely to result in an immediate and possibly substantial loss of revenues due to a shutdown of any of our properties and material adverse effect on our business operations and financial condition.</w:t>
      </w:r>
    </w:p>
    <w:p>
      <w:pPr>
        <w:spacing w:after="0" w:line="17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Our operations in Cyprus are subject to economic, political and social risks within Cyprus, particularly in the occupied part of Cyprus, as well as outside of Cyprus due to the ongoing conflicts in the Middle East, including between the United States, Israel and Iran. There are ongoing political, social and economic issues in Cyprus relating to the division of the island following the Turkish invasion in 1974, with the occupied part of Cyprus controlled by Turkey and its military. These issues have escalated due to the discovery and exploration of natural gas in Cyprus’ economic zones as well as in the economic zones around Cyprus. Turkey has unilaterally created its own economic zones overlapping the Cyprus ones and has initiated exploratory drilling in the area. Any future political or social instability in Cyprus or in the neighboring region could adversely affect the business operations and financial conditions of our casinos in Cyprus, including City of Dreams Mediterranean. Cyprus’ relatively small and open economy means it remains susceptible to rapid changes in economic conditions in the neighboring regions or globally. In addition, changes in government policies, laws or regulations, or in the interpretation or enforcement of these laws and regulations, may negatively impact gaming and non-gaming activities at our facilities in Cyprus, which could adversely affect our business operations and</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940"/>
          </w:cols>
          <w:pgMar w:left="320" w:top="472"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financial condition. For example, an amendment to Cyprus’ anti-money laundering law came into effect on January 1, 2025, prohibiting cash payments exceeding EUR10,000 (equivalent to approximately US$11,765) for goods, services and real estate transactions in one or a series of related transactions. While a subsequent amendment to the Cyprus’ anti-money laundering law in 2025 exempted transactions conducted within casinos from this cash limit until 2027 when the European Union’s Anti-Money Laundering Regulation will become applicable to casinos, our results of operations in Cyprus may be materially and adversely affected once such law becomes applicable to transactions conducted within casinos.</w:t>
      </w:r>
    </w:p>
    <w:p>
      <w:pPr>
        <w:spacing w:after="0" w:line="171" w:lineRule="exact"/>
        <w:rPr>
          <w:sz w:val="20"/>
          <w:szCs w:val="20"/>
          <w:color w:val="auto"/>
        </w:rPr>
      </w:pPr>
    </w:p>
    <w:p>
      <w:pPr>
        <w:ind w:left="300" w:right="60" w:firstLine="960"/>
        <w:spacing w:after="0" w:line="273" w:lineRule="auto"/>
        <w:rPr>
          <w:sz w:val="20"/>
          <w:szCs w:val="20"/>
          <w:color w:val="auto"/>
        </w:rPr>
      </w:pPr>
      <w:r>
        <w:rPr>
          <w:rFonts w:ascii="Times New Roman" w:cs="Times New Roman" w:eastAsia="Times New Roman" w:hAnsi="Times New Roman"/>
          <w:sz w:val="17"/>
          <w:szCs w:val="17"/>
          <w:color w:val="auto"/>
        </w:rPr>
        <w:t>Our operations in Sri Lanka are subject to certain risks within Sri Lanka. The Sri Lankan economy has experienced economic challenges, including a default by the Sri Lankan government on its debt obligations in 2022 which required the intervention of the International Monetary Fund, and economic stability remains uncertain. Any future economic, political or social instability in Sri Lanka could negatively impact our operations in Sri Lanka.</w:t>
      </w:r>
    </w:p>
    <w:p>
      <w:pPr>
        <w:spacing w:after="0" w:line="378"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In addition, the global macroeconomic environment continues to face significant challenges, including the continuation of international trade conflicts, such as the trade disputes between the United States and China and the imposition of trade tariffs and related retaliatory measures between these two countries and globally.</w:t>
      </w:r>
    </w:p>
    <w:p>
      <w:pPr>
        <w:spacing w:after="0" w:line="16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Heightened tensions remain between the United States and China in connection with ongoing trade disputes as well as other political factors and may escalate. Such tensions, or any escalation in tensions between the United States and China, or globally, could reduce levels of trade, investment, technological exchanges and other economic activities between these two major economies, which would have a material adverse effect on global economic conditions and the stability of global financial markets.</w:t>
      </w:r>
    </w:p>
    <w:p>
      <w:pPr>
        <w:spacing w:after="0" w:line="169"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Elevated inflation rates in places where we operate and globally may weaken discretionary spending of our customers and increase our operating costs such as through increases in salary payments for our staff or key expenditures in our business. In September 2024, the U.S. Federal Reserve lowered the benchmark federal-funds rate for the first time in four years to 5.00% and has continued to lower interest rates in 2024 and 2025 to the current rate of 3.75%. The direction that the U.S. Federal Reserve will take with regards to its monetary policy is uncertain.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Any developments that adversely impact global liquidity, heighten market volatility and increase U.S. dollar funding costs resulting in tightened global financial conditions and a prolonged period of volatile and unstable market conditions would likely increase our funding costs and negatively affect our market risk mitigation strategies.</w:t>
      </w:r>
    </w:p>
    <w:p>
      <w:pPr>
        <w:spacing w:after="0" w:line="178" w:lineRule="exact"/>
        <w:rPr>
          <w:sz w:val="20"/>
          <w:szCs w:val="20"/>
          <w:color w:val="auto"/>
        </w:rPr>
      </w:pPr>
    </w:p>
    <w:p>
      <w:pPr>
        <w:ind w:left="300" w:right="80" w:firstLine="960"/>
        <w:spacing w:after="0" w:line="263" w:lineRule="auto"/>
        <w:rPr>
          <w:sz w:val="20"/>
          <w:szCs w:val="20"/>
          <w:color w:val="auto"/>
        </w:rPr>
      </w:pPr>
      <w:r>
        <w:rPr>
          <w:rFonts w:ascii="Times New Roman" w:cs="Times New Roman" w:eastAsia="Times New Roman" w:hAnsi="Times New Roman"/>
          <w:sz w:val="17"/>
          <w:szCs w:val="17"/>
          <w:color w:val="auto"/>
        </w:rPr>
        <w:t>Since 2022, continued stress in China’s property sector and a weaker, uneven post-pandemic economic recovery have weighed on risk sentiment toward China-linked U.S. dollar high-yield credit more broadly. This has at times contributed to wider spreads and weaker secondary-market performance for high-yield bonds of issuers in other sectors connected with China, including those issued by Macau gaming operators and associated entities. Other factors affecting discretionary consumer spending, including the level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travel have had and could materially adversely affect our business, results of operations and financial condition.</w:t>
      </w:r>
    </w:p>
    <w:p>
      <w:pPr>
        <w:spacing w:after="0" w:line="173"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Considerable uncertainty remains over the long-term effects of the expansionary monetary and fiscal policies adopted by the central banks and financial authorities of some of the world’s leading economies, including the United States and China. There have been concerns over conflicts, unrest and terrorist threats in the Ukraine, Middle East, Europe and Africa, including, but not limited to, between the United States, Israel and Iran</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920"/>
          </w:cols>
          <w:pgMar w:left="320" w:top="472"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and the continuing military conflict between Russia and Ukraine leading to sanctions and export controls imposed by the United States, the European Union, the United Kingdom and other countries targeting Russia, its financial system and major financial institutions and certain Russian entities and persons. Such sanctions and measures and conflicts have had and may continue to have a negative impact on our business and our ability to accept certain customers, including for our business in Cyprus where historically a significant number of tourists have come from Russia, Israel and the Middle East. These conflicts have also caused volatility in global financial markets, a rise in prices of oil, gas and other commodities, and impacted availability of flights into and out of Cyprus. In addition, concerns over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00" w:lineRule="exact"/>
        <w:rPr>
          <w:sz w:val="20"/>
          <w:szCs w:val="20"/>
          <w:color w:val="auto"/>
        </w:rPr>
      </w:pPr>
    </w:p>
    <w:p>
      <w:pPr>
        <w:spacing w:after="0" w:line="291" w:lineRule="exact"/>
        <w:rPr>
          <w:sz w:val="20"/>
          <w:szCs w:val="20"/>
          <w:color w:val="auto"/>
        </w:rPr>
      </w:pPr>
    </w:p>
    <w:p>
      <w:pPr>
        <w:ind w:left="300"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Policies, campaigns and measures adopted by the PRC and/or Macau governments from time to time could materially and adversely affect our operations.</w:t>
      </w:r>
    </w:p>
    <w:p>
      <w:pPr>
        <w:spacing w:after="0" w:line="3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A significant number of the customers of our properties come from, and are expected to continue to come from, China. Any travel restrictions imposed by China could negatively affect the number of patrons visiting our properties from China. Under the Individual Visit Scheme, or IVS, mainland China citizens from certain cities have been able to travel to Macau individually instead of as part of a tour group. While the PRC government has restricted and then loosened IVS travel frequently, it has indicated its intention to maintain tourism development by opening the IVS to more China cities to visit Macau. For example, the IVS was further expanded to Qingdao and Xi’an beginning in March 2024. A decrease in the number of visitors from China could adversely affect our results of operations. See also “— 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175"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In addition, certain policies and campaigns implemented by the PRC government may lead to a decline in the number of patrons visiting our properties in Macau and the amount of spending by such patrons. The strength and profitability of our business depend on consumer demand for integrated resorts in general and for the type of luxury amenities that a gaming operator offers. Initiatives and campaigns undertaken by the PRC government in recent years have resulted in an overall dampening effect on the behavior of China consumers and a decrease in their spending, particularly in luxury good sales and other discretionary spending. For example, the PRC government’s ongoing anti-corruption campaign has had an overall dampening effect on the behavior of China consumers and their spending patterns both domestically and abroad. In addition, the number of patrons visiting our properties may be affected by the PRC government’s focus on deterring marketing of gaming to China citizens and its initiatives to tighten monetary transfer regulations, increase monitoring of various transactions, including bank or credit card transactions, and reduce the amount that mainland China-issued ATM cardholders can withdraw in each withdrawal and impose a limit on the annual aggregate amount that may be withdrawn. The PRC government has also developed its digital currency and has performed certain test trials in its application within China. If a digital currency is adopted by the Macau government for gaming operations in Macau, there could be a material and adverse impact on our operations, especially our VIP rolling chip operations, if limitations on transactions per player are also introduced in conjunction with the adoption of the digital currency.</w:t>
      </w:r>
    </w:p>
    <w:p>
      <w:pPr>
        <w:spacing w:after="0" w:line="177"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Regulatory scrutiny of gaming promoters in China and the Philippines has also affected the gaming business. See “— We depend upon gaming promoters for a portion of our gaming revenues. If we are unable to establish or maintain the number of successful relationships with gaming promoters,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920"/>
          </w:cols>
          <w:pgMar w:left="320" w:top="472"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0"/>
        <w:spacing w:after="0" w:line="295" w:lineRule="auto"/>
        <w:rPr>
          <w:sz w:val="20"/>
          <w:szCs w:val="20"/>
          <w:color w:val="auto"/>
        </w:rPr>
      </w:pPr>
      <w:r>
        <w:rPr>
          <w:rFonts w:ascii="Times New Roman" w:cs="Times New Roman" w:eastAsia="Times New Roman" w:hAnsi="Times New Roman"/>
          <w:sz w:val="17"/>
          <w:szCs w:val="17"/>
          <w:color w:val="auto"/>
        </w:rPr>
        <w:t>operations could be materially and adversely impacted” and “— Our business is subject to regional and global political, social and economic risks, as well as natural disasters, that may significantly affect visitations to our properties and have a material adverse effect on our results of operations.”</w:t>
      </w:r>
    </w:p>
    <w:p>
      <w:pPr>
        <w:spacing w:after="0" w:line="247" w:lineRule="exact"/>
        <w:rPr>
          <w:sz w:val="20"/>
          <w:szCs w:val="20"/>
          <w:color w:val="auto"/>
        </w:rPr>
      </w:pPr>
    </w:p>
    <w:p>
      <w:pPr>
        <w:ind w:left="300"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expect to continue to derive a significant majority of our revenues from our Macau gaming business and may be materially affected by any disruptions or downturns in the Macau gaming market. For example, although gross gaming revenues in Macau increased by 9.1% on a year-over-year basis in 2025 compared to 2024 according to the DICJ, governmental policies and responses to COVID-19 outbreaks during the period between 2020 to 2022 resulted in a significant decline in inbound tourism in Macau with gross gaming revenues declining by 30.2% in 2022 compared to 2020, according to the DICJ.</w:t>
      </w:r>
    </w:p>
    <w:p>
      <w:pPr>
        <w:spacing w:after="0" w:line="171"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Our business, financial condition and results of operations may be materially and adversely affected by such impacts or other disruptions in the Macau gaming market. See “— 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gaming industries in the jurisdictions in which we operate are highly regulated.</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Gaming is a highly regulated industry in Macau. Our Macau gaming business is subject to various laws and increased audits and inspections from regulators, such as those relating to licensing, tax rates and other regulatory obligations, such as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concession. Any such adverse developments in the regulation of the Macau gaming industry could be difficult to comply with and could significantly increase our costs, which could cause our projects to be unsuccessful.</w:t>
      </w:r>
    </w:p>
    <w:p>
      <w:pPr>
        <w:spacing w:after="0" w:line="387" w:lineRule="exact"/>
        <w:rPr>
          <w:sz w:val="20"/>
          <w:szCs w:val="20"/>
          <w:color w:val="auto"/>
        </w:rPr>
      </w:pPr>
    </w:p>
    <w:p>
      <w:pPr>
        <w:ind w:left="300" w:right="40" w:firstLine="960"/>
        <w:spacing w:after="0" w:line="259" w:lineRule="auto"/>
        <w:rPr>
          <w:sz w:val="20"/>
          <w:szCs w:val="20"/>
          <w:color w:val="auto"/>
        </w:rPr>
      </w:pPr>
      <w:r>
        <w:rPr>
          <w:rFonts w:ascii="Times New Roman" w:cs="Times New Roman" w:eastAsia="Times New Roman" w:hAnsi="Times New Roman"/>
          <w:sz w:val="17"/>
          <w:szCs w:val="17"/>
          <w:color w:val="auto"/>
        </w:rPr>
        <w:t>The Philippine gaming industry is also highly regulated, including the amendment to the existing Philippine Anti-Money Laundering Act, as amended (“Philippine AMLA”), whereby casinos are included as covered persons subject to reporting and other requirements under the Philippine AMLA. The Anti-Money Laundering Council and PAGCOR have also released regulations and guidelines on compliance. The authority of the Anti-Money Laundering Council was also expanded to include the power to apply for search and seizure orders, issue subpoenas, and preserve, manage or dispose assets pursuant to a freeze order or judgment of forfeiture. We cannot assure you that our contractors, agents or employees will continually adhere to our current anti-money laundering policies for our Philippine operations or future policies that we may implement or revise or that any such policies will be effective in preventing our Philippines operations from being exploited for money laundering purposes. City of Dreams Manila is also subject to increased audits and inspections from regulators, including those relating to anti-money laundering requirements and measures. City of Dreams Manila may legally operate under the Philippine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Philippine License requires, among others, 95.0% of City of Dreams Manila’s total employees to be locally hired. PAGCOR could also exert a substantial influence on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900"/>
          </w:cols>
          <w:pgMar w:left="320" w:top="472"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00"/>
        <w:spacing w:after="0" w:line="276" w:lineRule="auto"/>
        <w:rPr>
          <w:sz w:val="20"/>
          <w:szCs w:val="20"/>
          <w:color w:val="auto"/>
        </w:rPr>
      </w:pPr>
      <w:r>
        <w:rPr>
          <w:rFonts w:ascii="Times New Roman" w:cs="Times New Roman" w:eastAsia="Times New Roman" w:hAnsi="Times New Roman"/>
          <w:sz w:val="17"/>
          <w:szCs w:val="17"/>
          <w:color w:val="auto"/>
        </w:rPr>
        <w:t>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w:t>
      </w:r>
    </w:p>
    <w:p>
      <w:pPr>
        <w:spacing w:after="0" w:line="162"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Gaming in Cyprus is a highly regulated new market and subject to various regulations of the European Union that are being developed and adopted in Cyprus. New gaming laws and regulations come into force from time to time in Cyprus. The CGC has and will continue to conduct business-wide anti-money laundering and counter-terrorist financing inspections at City of Dreams Mediterranean and the Cyprus Casinos and review our anti-money laundering policies. As a result of these inspections and reviews, we have made, and expect we will need to continue to make, certain adjustments to our anti-money laundering policies and compliance procedures from time to time. We may also face compliance challenges as there are fewer precedents on the interpretation of Cyprus gaming laws and regulations as compared to other jurisdictions. Our Cyprus License also requires us to submit periodic and ad-hoc reports to the CGC in areas that include our operations, regulatory compliance, consumer complaints and financial and tax reporting. If we are unable to fully comply with any of the foregoing requirements, we could be subject to fines or other penalties.</w:t>
      </w:r>
    </w:p>
    <w:p>
      <w:pPr>
        <w:spacing w:after="0" w:line="175"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Gaming in Sri Lanka is an evolving market and subject to various regulations in Sri Lanka. In particular, the Gambling Regulatory Authority Act, No. 17 of 2025, which became effective on December 1, 2025, establishes a new gambling regulatory authority, compliance framework and foundation for new gambling regulations to be issued in Sri Lanka. Any inability to comply with regulatory requirements may subject us to fines, revocation or even cancellation of the Sri Lanka License.</w:t>
      </w:r>
    </w:p>
    <w:p>
      <w:pPr>
        <w:spacing w:after="0" w:line="16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Furthermore, our operations require various licenses and permits granted from various governmental or regulatory bodies in the jurisdictions in which we have operations, such as those related to labor, food and beverages, safety, fire, buildings, health and environmental, some of which are required to be renewed annually. There is no guarantee that the requirements for such permits and licenses will remain the same, or that the relevant governmental or regulatory bodies will not impose additional and more onerous requirements. This may affect our ability to renew our licenses and permits or we may not be able to obtain any additional licenses or permits required to conduct our business as our business and operations expand in a timely manner or at all, which could adversely affect our business.</w:t>
      </w:r>
    </w:p>
    <w:p>
      <w:pPr>
        <w:spacing w:after="0" w:line="173" w:lineRule="exact"/>
        <w:rPr>
          <w:sz w:val="20"/>
          <w:szCs w:val="20"/>
          <w:color w:val="auto"/>
        </w:rPr>
      </w:pPr>
    </w:p>
    <w:p>
      <w:pPr>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In addition, there are limited precedents on the interpretation of the current laws and regulations concerning gaming and gaming concessions and licenses in the jurisdictions in which we operate. These laws and regulations are complex, and a court or administrative or regulatory body may in the future render an interpretation of these laws and regulations, or issue new or modified regulations, that differ from our interpretation.</w:t>
      </w:r>
    </w:p>
    <w:p>
      <w:pPr>
        <w:spacing w:after="0" w:line="263" w:lineRule="exact"/>
        <w:rPr>
          <w:sz w:val="20"/>
          <w:szCs w:val="20"/>
          <w:color w:val="auto"/>
        </w:rPr>
      </w:pPr>
    </w:p>
    <w:p>
      <w:pPr>
        <w:ind w:left="300"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and policies in China and uncertainties in the legal systems in China may expose us to risks. In addition, rules and regulations in China can change quickly with little advance notice.</w:t>
      </w:r>
    </w:p>
    <w:p>
      <w:pPr>
        <w:spacing w:after="0" w:line="38"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We derive a significant majority of our revenues from our Macau business and a significant number of our customers come from, and are expected to continue to come from, China. Accordingly, our results of operations and financial condition may be materially and adversely affected by significant regulatory developments not only in Macau but also in the rest of China. Gaming-related activities in China, including marketing activities, are strictly regulated by the PRC government and subject to various laws and regulations. The PRC legal system continues to evolve and the interpretations of laws, regulations and rules are not always uniform. Rules and regulations in China can change quickly with little advance notice.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China is or will be consistent with the interpretation and application</w:t>
      </w: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940"/>
          </w:cols>
          <w:pgMar w:left="320" w:top="472"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7"/>
          <w:szCs w:val="17"/>
          <w:color w:val="auto"/>
        </w:rPr>
        <w:t>by the PRC governmental authorities. These uncertainties may impede our ability to assess our legal rights or risks relating to our business and activities. Any changes in the laws and regulations, or in the interpretation or enforcement of these laws and regulations, that affect gaming-related activities in China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PRC laws and regulations.</w:t>
      </w:r>
    </w:p>
    <w:p>
      <w:pPr>
        <w:spacing w:after="0" w:line="171"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addition, PRC administrative and court authorities have discretion in interpreting and implementing statutory terms. Such discretion of the PRC administrative and court authorities increases the uncertainties in the PRC legal system and makes it difficult to evaluate the likely outcome of any administrative and court proceedings in China and the level of legal protection we enjoy than in other legal systems. Any litigation or proceedings in China may be protracted and result in substantial costs and diversion of our resources and management attention. Any such litigation or proceedings could have a material adverse effect on our business, reputation, financial condition and results of operations.</w:t>
      </w:r>
    </w:p>
    <w:p>
      <w:pPr>
        <w:spacing w:after="0" w:line="272" w:lineRule="exact"/>
        <w:rPr>
          <w:sz w:val="20"/>
          <w:szCs w:val="20"/>
          <w:color w:val="auto"/>
        </w:rPr>
      </w:pPr>
    </w:p>
    <w:p>
      <w:pPr>
        <w:ind w:left="300" w:righ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may influence our operations or impact our offerings conducted overseas or foreign investments in us. Its oversight and discretion over our business could result in material changes in our operations and the value of our ordinary shares and ADSs.</w:t>
      </w:r>
    </w:p>
    <w:p>
      <w:pPr>
        <w:spacing w:after="0" w:line="38"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The PRC government has exercised and continues to exercise substantial control over virtually every sector of the China economy through evolving development, interpretation and implementation of applicable laws and regulations. The PRC government may also enact new laws, rules or regulations, which may influence our operations, at any time as the PRC government deems appropriate to further regulatory, political and societal goals, or may exert more control over offerings conducted overseas and/or foreign investment in China-based issuers, which could result in a material change in our operations and/or the value of our ordinary shares. Additionally, the PRC government has in the past made statements indicating an intent to exert more oversight and control over offerings that are conducted overseas and/or foreign investment in China-based issuers and any such action could significantly impact our ability to offer or continue to offer securities to investors and cause the value of our securities to significantly decline or be worthless. See also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our reputation and/or subject us to fines, penalties, lawsuits, restrictions on our use or transfer of data and other risks” for discussions relating to the China Data Security Law.</w:t>
      </w:r>
    </w:p>
    <w:p>
      <w:pPr>
        <w:spacing w:after="0" w:line="180"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For example, on February 17, 2023, the CSRC released a set of rules, including the Trial Administrative Measures of Overseas Securities Offerings and Listings by Domestic Companies, or the Trial Administrative New Measures, and related guidelines, which came into effect on March 31, 2023, and the Notice on the Arrangements for the Recordation Management of Overseas Issuances and Listings of Domestic Enterprises, or the Notice on Overseas Issuance and Listing.</w:t>
      </w:r>
    </w:p>
    <w:p>
      <w:pPr>
        <w:spacing w:after="0" w:line="169"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Under the first paragraph of Article 15 of the Trial Administrative New Measures, overseas offerings and listings of a listing applicant by a mainland China company must conduct and complete the relevant filing procedures with the CSRC if (i) more than 50% of its operating revenue, total profit, total assets or net assets were derived from its mainland China entities based on the audited consolidated financial statements for the most recent financial year, and (ii) the main parts of its business activities are conducted in mainland China, its principal places of business are located in mainland China, or the majority of senior management in charge of its business operations are mainland China citizens or domiciled in mainland China. Furthermore, the second paragraph of Article 15 of the Trial Administrative New Measures provides that a “substance over form” principle, or the Principle, shall be followed when determining whether an issuer is subject to the filing requirements under the Trial Administrative New Measures. In addition, according to the Notice on Overseas Issuance and Listing, companies which have completed overseas listings or offerings prior to March 31, 2023 are</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940"/>
          </w:cols>
          <w:pgMar w:left="320" w:top="472"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required to complete any filing procedures immediately, but may be required to file with the CSRC for any follow-on offerings.</w:t>
      </w:r>
    </w:p>
    <w:p>
      <w:pPr>
        <w:spacing w:after="0" w:line="223" w:lineRule="exact"/>
        <w:rPr>
          <w:sz w:val="20"/>
          <w:szCs w:val="20"/>
          <w:color w:val="auto"/>
        </w:rPr>
      </w:pPr>
    </w:p>
    <w:p>
      <w:pPr>
        <w:ind w:left="300" w:right="80" w:firstLine="960"/>
        <w:spacing w:after="0" w:line="260" w:lineRule="auto"/>
        <w:rPr>
          <w:sz w:val="20"/>
          <w:szCs w:val="20"/>
          <w:color w:val="auto"/>
        </w:rPr>
      </w:pPr>
      <w:r>
        <w:rPr>
          <w:rFonts w:ascii="Times New Roman" w:cs="Times New Roman" w:eastAsia="Times New Roman" w:hAnsi="Times New Roman"/>
          <w:sz w:val="17"/>
          <w:szCs w:val="17"/>
          <w:color w:val="auto"/>
        </w:rPr>
        <w:t>We do not believe that our previous or future offshore offerings are or will be subject to the filing procedures under the Trial Administrative New Measures and related guidelines as (i) we currently have two subsidiaries in mainland China, and the aggregate operating revenue, total profit, total assets or net assets of such subsidiaries as recorded in our audited consolidated financial statements for the most recent financial year were immaterial and will not reach the threshold under the first paragraph of Article 15 of the Trial Administrative New Measures; (ii) the main parts of the Company’s business activities are not and are not expected to be conducted in mainland China; (iii) the Company’s principal places of business are not and are not expected to be located in mainland China; (iv) the senior management in charge of the Company’s business operation are not mainland China citizens and the management does not and is not expected to be domiciled in mainland China; and (v) the risk factors disclosed in the offering document of any future offshore offerings are not expected to be predominately related to mainland China as compared to other countries and regions. However, uncertainties exist as to how the Trial Administrative New Measures and the related guidelines will be interpreted and implemented. Particularly, the Principle is subject to any new laws, rules and regulations or interpretations and implementations in any form relating to the filing requirements under the Trial Administrative New Measures at the discretion of the PRC government authorities.</w:t>
      </w:r>
    </w:p>
    <w:p>
      <w:pPr>
        <w:spacing w:after="0" w:line="180" w:lineRule="exact"/>
        <w:rPr>
          <w:sz w:val="20"/>
          <w:szCs w:val="20"/>
          <w:color w:val="auto"/>
        </w:rPr>
      </w:pPr>
    </w:p>
    <w:p>
      <w:pPr>
        <w:ind w:left="300" w:right="160" w:firstLine="960"/>
        <w:spacing w:after="0" w:line="264" w:lineRule="auto"/>
        <w:rPr>
          <w:sz w:val="20"/>
          <w:szCs w:val="20"/>
          <w:color w:val="auto"/>
        </w:rPr>
      </w:pPr>
      <w:r>
        <w:rPr>
          <w:rFonts w:ascii="Times New Roman" w:cs="Times New Roman" w:eastAsia="Times New Roman" w:hAnsi="Times New Roman"/>
          <w:sz w:val="17"/>
          <w:szCs w:val="17"/>
          <w:color w:val="auto"/>
        </w:rPr>
        <w:t>If (i) (a) we incorrectly conclude that certain regulatory permissions and approvals are not required or (b) applicable laws, regulations, or interpretations change in a way that requires us to complete such filings or obtain such approvals in the future, and (ii)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in Macau, the Philippines and elsewhere in Asia and Europe and may not be able to compete successfully.</w:t>
      </w:r>
    </w:p>
    <w:p>
      <w:pPr>
        <w:spacing w:after="0" w:line="122"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The hotel, resort and gaming industries are highly competitive. The competitors of our business in Macau, the Philippines and elsewhere in Asia and Europe include many of the largest gaming, hospitality, leisure and resort companies in the world. Some of these current and future competitors are larger than we are and may have more diversified resources, better brand recognition and greater access to capital to support their developments and operations in Macau, the Philippines and elsewhere.</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In Macau, some competitors have opened new properties, expanded operations and/or have announced intentions for further expansion and developments in Cotai, where City of Dreams and Studio City are located. For example, Phase 3 of the Galaxy Macau Resort progressively opened from the second quarter of 2023, while Phase 4 is currently under development with its construction expected to be completed in 2027. Sands China Ltd., a subsidiary of Las Vegas Sands Corporation, has rebranded and redeveloped Sands Cotai Central in Cotai into The Londoner Macau, which opened in February 2021, and completed renovations of the former Sheraton Grand, rebranding the hotel as the Londoner Grand, which opened in June 2025. Sociedade de Jogos de Macau, S.A., or SJM, opened Grand Lisboa Palace in July 2021 and opened two additional hotels in 2023. See “Item 4. Information on the Company — B. Business Overview — Market and Competition.”</w:t>
      </w:r>
    </w:p>
    <w:p>
      <w:pPr>
        <w:spacing w:after="0" w:line="173"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In the Philippine gaming market, we compete with hotels and resorts owned by both Philippine nationals and international operators. In 2025, Bloomberry Resorts Corporation opened Solaire Resort North in Quezon City, and Suntrust Resort Holdings is expected to open its integrated resort in Westside City, Manila in the second half of 2026. PAGCOR, an entity owned and controlled by the government of the Philippines, also operates gaming facilities across the Philippines. The past year has also seen the rapid growth of electronic</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960"/>
          </w:cols>
          <w:pgMar w:left="320" w:top="472" w:right="6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7"/>
          <w:szCs w:val="17"/>
          <w:color w:val="auto"/>
        </w:rPr>
        <w:t>games in the Philippines, with gross gaming revenues from electronic games increasing by approximately 67% in the first nine months of 2025 compared to the comparable period in 2024. Our operations in the Philippines face competition from gaming operators in other more established gaming centers across the region, particularly those of Macau and Singapore, and other major gaming markets located around the world, including Australia and Las Vegas, as we attract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w:t>
      </w:r>
    </w:p>
    <w:p>
      <w:pPr>
        <w:spacing w:after="0" w:line="173"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In Cyprus, we hold a 30-year casino gaming license, which commenced from June 2017 and as to which the first 15 years are exclusive. Although we hold the exclusive license to operate casinos in the Republic of Cyprus until 2032, we may face competition from a large number of sports betting shops in Cyprus, online sports betting or other illegal casinos in Cyprus closed down by the Cyprus government, and from a large number of casinos in the occupied part of Cyprus or from casinos in nearby parts of Europe and the Middle East. We expect additional competition from new integrated resorts scheduled to open in the region, including the Hard Rock Hotel &amp; Casino Athens which is expected to open in 2027, and Wynn Al Marjan Island, which is currently under construction at Ras Al Khaimah in the UAE and expected to open in the spring of 2027.</w:t>
      </w:r>
    </w:p>
    <w:p>
      <w:pPr>
        <w:spacing w:after="0" w:line="173" w:lineRule="exact"/>
        <w:rPr>
          <w:sz w:val="20"/>
          <w:szCs w:val="20"/>
          <w:color w:val="auto"/>
        </w:rPr>
      </w:pPr>
    </w:p>
    <w:p>
      <w:pPr>
        <w:ind w:left="300" w:right="160" w:firstLine="960"/>
        <w:spacing w:after="0" w:line="264" w:lineRule="auto"/>
        <w:rPr>
          <w:sz w:val="20"/>
          <w:szCs w:val="20"/>
          <w:color w:val="auto"/>
        </w:rPr>
      </w:pPr>
      <w:r>
        <w:rPr>
          <w:rFonts w:ascii="Times New Roman" w:cs="Times New Roman" w:eastAsia="Times New Roman" w:hAnsi="Times New Roman"/>
          <w:sz w:val="17"/>
          <w:szCs w:val="17"/>
          <w:color w:val="auto"/>
        </w:rPr>
        <w:t>We also compete to some extent with casinos located in other countries, such as Singapore, Malaysia, South Korea, Vietnam, Cambodia, India, Australia, New Zealand and elsewhere in the world, including Las Vegas and Atlantic City in the United States, and in the future, proposed developments in Japan, Greece and the United Arab Emirates, among others. Certain other markets, such as Taiwan, may also in the future legalize casino gaming and may not be subject to as stringent regulations as the jurisdictions in which we operate. We also compete with both legal and illegal online gaming and sports betting websites, cruise ships operating out of Hong Kong and other areas of Asia that offer gaming. The proliferation of gaming venues in Asia could also significantly and adversely affect our business, financial condition, results of operations, cash flows and prospects.</w:t>
      </w:r>
    </w:p>
    <w:p>
      <w:pPr>
        <w:spacing w:after="0" w:line="173"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Currently, Macau is the only region in China offering legal casino gaming. Although the PRC government has strictly enforced its regulations prohibiting domestic gaming operations in mainland China, there may be casinos in parts of mainland China that are operated illegally and without licenses. In addition, there is no assurance that the PRC government will not in the future permit gaming operations in mainland China. Competition from casinos in mainland China, legal or illegal, could materially and adversely affect our business, results of operations, financial condition, cash flows and prospects.</w:t>
      </w:r>
    </w:p>
    <w:p>
      <w:pPr>
        <w:spacing w:after="0" w:line="171"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Our regional competitors also include casino resorts that Melco International may develop elsewhere in Asia Pacific outside Macau or elsewhere in the world. Melco International may develop different interests and strategies for projects in Asia or elsewhere in the world which conflict with the interests of our business in Macau, the Philippines and Cyprus or otherwise compete with us for gaming and leisure customers. See “— Risks Relating to Our Corporate Structure and Ownership.”</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Inadequate transportation infrastructure may hinder increases in visitations to Macau, the Philippines or Cyprus.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Macau consists of a peninsula and two islands and is connected to mainland China by five land border crossings. Macau has an international airport and connections to mainland China and Hong Kong by road and ferry.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our projects in Macau. Furthermore, even if constructed, the</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940"/>
          </w:cols>
          <w:pgMar w:left="320" w:top="472"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spacing w:after="0" w:line="276" w:lineRule="auto"/>
        <w:rPr>
          <w:sz w:val="20"/>
          <w:szCs w:val="20"/>
          <w:color w:val="auto"/>
        </w:rPr>
      </w:pPr>
      <w:r>
        <w:rPr>
          <w:rFonts w:ascii="Times New Roman" w:cs="Times New Roman" w:eastAsia="Times New Roman" w:hAnsi="Times New Roman"/>
          <w:sz w:val="17"/>
          <w:szCs w:val="17"/>
          <w:color w:val="auto"/>
        </w:rPr>
        <w:t>expected benefits of these projects may not fully materialize, and may not result in significantly increased traffic to Macau and to our Macau properties. Any further delays or termination of Macau’s transportation infrastructure projects may have a material adverse effect on our business, prospects, financial condition, results of operations and cash flows.</w:t>
      </w:r>
    </w:p>
    <w:p>
      <w:pPr>
        <w:spacing w:after="0" w:line="162" w:lineRule="exact"/>
        <w:rPr>
          <w:sz w:val="20"/>
          <w:szCs w:val="20"/>
          <w:color w:val="auto"/>
        </w:rPr>
      </w:pPr>
    </w:p>
    <w:p>
      <w:pPr>
        <w:ind w:left="300" w:right="100" w:firstLine="960"/>
        <w:spacing w:after="0" w:line="263" w:lineRule="auto"/>
        <w:rPr>
          <w:sz w:val="20"/>
          <w:szCs w:val="20"/>
          <w:color w:val="auto"/>
        </w:rPr>
      </w:pPr>
      <w:r>
        <w:rPr>
          <w:rFonts w:ascii="Times New Roman" w:cs="Times New Roman" w:eastAsia="Times New Roman" w:hAnsi="Times New Roman"/>
          <w:sz w:val="17"/>
          <w:szCs w:val="17"/>
          <w:color w:val="auto"/>
        </w:rPr>
        <w:t>City of Dreams Manila is located within Entertainment City, a controlled development in the City of Parañaque. In addition to us, Solaire, Okada Manila and Newport World Resorts operate integrated resorts within Entertainment City. The NAIA Expressway and Skyway Stage-3 Expressway helped alleviate the traffic congestion within the area surrounding Entertainment City and the Philippine government continues to examine viable alternatives to ease traffic congestion in Manila. However, there is no guarantee that these measures will succeed, or that they will sufficiently eliminate the traffic problems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Cyprus is an island in the Eastern Basin of the Mediterranean Sea. It is the third largest island in the Mediterranean after the Italian islands of Sicily and Sardinia. Cyprus has two international airports with flights to other European countries as well as outside of Europe such as Russia, the Middle East and Africa. Cyprus’ existing transportation infrastructure may be incapable of handling the increased number of tourist arrivals that may be necessary to support visitor traffic to City of Dreams Mediterranean in Limassol or our three satellite casinos in Nicosia, Ayia Napa and Paphos. There is no guarantee that any measures taken by the government of Cyprus or the operator of the Cyprus airports will successfully increase air traffic into Cyprus or sufficiently eliminate the traffic problem or other deficiencies in Cyprus’ transportation infrastructure.</w:t>
      </w:r>
    </w:p>
    <w:p>
      <w:pPr>
        <w:spacing w:after="0" w:line="274" w:lineRule="exact"/>
        <w:rPr>
          <w:sz w:val="20"/>
          <w:szCs w:val="20"/>
          <w:color w:val="auto"/>
        </w:rPr>
      </w:pPr>
    </w:p>
    <w:p>
      <w:pPr>
        <w:ind w:left="30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governments in Macau, the Philippines and other jurisdictions in which we operate could grant additional rights to conduct gaming in the future, which could significantly increase competition and cause us to lose or be unable to gain market share.</w:t>
      </w:r>
    </w:p>
    <w:p>
      <w:pPr>
        <w:spacing w:after="0" w:line="38"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In Macau, Melco Resorts Macau is one of the six companies authorized by the Macau government to operate gaming activities. Pursuant to the terms of Macau Law No. 16/2001, or the Macau Gaming Operations Law, as amended,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us to lose or be unable to maintain or gain market share and, as a result, adversely affect our business.</w:t>
      </w:r>
    </w:p>
    <w:p>
      <w:pPr>
        <w:spacing w:after="0" w:line="171"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In the Philippines, PAGCOR has issued regular gaming licenses to the Philippine Licensees and one other company and additional provisional gaming licenses to three other companies in the Philippines for the development and operation of integrated casino resorts. PAGCOR also granted a provisional license to a casino operator located at Las Piñas City and has also licensed private casino operators in Metro Manila, as well as in special economic zones, including four in the Clark Ecozone, one in Poro Point, La Union, one in Binangonan, Rizal and one in the Newport City CyberTourism Zone, Pasay City. The Philippine License granted by PAGCOR to the Philippine Licensees is non-exclusive, and there is no assurance that PAGCOR will not issue additional gaming licenses, or that it will limit the number of licenses it issues. Any additional gaming licenses issued by PAGCOR could increase competition in the Philippine gaming industry, which could diminish the value of the Philippine Licensees’ Philippine License. This could materially and adversely affect our business, financial condition and results of operations in the Philippines.</w:t>
      </w:r>
    </w:p>
    <w:p>
      <w:pPr>
        <w:spacing w:after="0" w:line="175"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In Sri Lanka, our subsidiary, Bluehaven Services, is one of five companies authorized to operate gaming activities and there is no assurance that the Sri Lankan government will not grant additional gaming licenses. Additionally, new regulations issued in 2025 provide the possibility of obtaining certain gaming and</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960"/>
          </w:cols>
          <w:pgMar w:left="320" w:top="472" w:right="6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spacing w:after="0" w:line="276" w:lineRule="auto"/>
        <w:rPr>
          <w:sz w:val="20"/>
          <w:szCs w:val="20"/>
          <w:color w:val="auto"/>
        </w:rPr>
      </w:pPr>
      <w:r>
        <w:rPr>
          <w:rFonts w:ascii="Times New Roman" w:cs="Times New Roman" w:eastAsia="Times New Roman" w:hAnsi="Times New Roman"/>
          <w:sz w:val="17"/>
          <w:szCs w:val="17"/>
          <w:color w:val="auto"/>
        </w:rPr>
        <w:t>corporate income tax exemptions for investors in the Port City Colombo (a multi-service special economic zone located adjacent to Colombo’s business district) meeting minimum investment criteria. The granting of any additional gaming licenses, especially to operators who are given tax exemptions not available to us, could significantly increase competition and have a material and adverse effect on our business and operations in Sri Lanka.</w:t>
      </w:r>
    </w:p>
    <w:p>
      <w:pPr>
        <w:spacing w:after="0" w:line="263" w:lineRule="exact"/>
        <w:rPr>
          <w:sz w:val="20"/>
          <w:szCs w:val="20"/>
          <w:color w:val="auto"/>
        </w:rPr>
      </w:pPr>
    </w:p>
    <w:p>
      <w:pPr>
        <w:ind w:left="30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simultaneous planning, design, construction and development of any projects may stretch our management’s time and resources, which could lead to delays, increased costs and other inefficiencies in the development of these projects.</w:t>
      </w:r>
    </w:p>
    <w:p>
      <w:pPr>
        <w:spacing w:after="0" w:line="38" w:lineRule="exact"/>
        <w:rPr>
          <w:sz w:val="20"/>
          <w:szCs w:val="20"/>
          <w:color w:val="auto"/>
        </w:rPr>
      </w:pPr>
    </w:p>
    <w:p>
      <w:pPr>
        <w:ind w:left="300" w:right="40" w:firstLine="960"/>
        <w:spacing w:after="0" w:line="267" w:lineRule="auto"/>
        <w:rPr>
          <w:sz w:val="20"/>
          <w:szCs w:val="20"/>
          <w:color w:val="auto"/>
        </w:rPr>
      </w:pPr>
      <w:r>
        <w:rPr>
          <w:rFonts w:ascii="Times New Roman" w:cs="Times New Roman" w:eastAsia="Times New Roman" w:hAnsi="Times New Roman"/>
          <w:sz w:val="17"/>
          <w:szCs w:val="17"/>
          <w:color w:val="auto"/>
        </w:rPr>
        <w:t>There may be overlap in the planning, design, development and construction periods of our gaming and non-gaming projects. Members of our senior management will be involved in planning and developing our projects at the same time, in addition to</w:t>
      </w:r>
    </w:p>
    <w:p>
      <w:pPr>
        <w:spacing w:after="0" w:line="1" w:lineRule="exact"/>
        <w:rPr>
          <w:sz w:val="20"/>
          <w:szCs w:val="20"/>
          <w:color w:val="auto"/>
        </w:rPr>
      </w:pPr>
    </w:p>
    <w:p>
      <w:pPr>
        <w:jc w:val="both"/>
        <w:ind w:left="300" w:right="120"/>
        <w:spacing w:after="0" w:line="262" w:lineRule="auto"/>
        <w:rPr>
          <w:sz w:val="20"/>
          <w:szCs w:val="20"/>
          <w:color w:val="auto"/>
        </w:rPr>
      </w:pPr>
      <w:r>
        <w:rPr>
          <w:rFonts w:ascii="Times New Roman" w:cs="Times New Roman" w:eastAsia="Times New Roman" w:hAnsi="Times New Roman"/>
          <w:sz w:val="17"/>
          <w:szCs w:val="17"/>
          <w:color w:val="auto"/>
        </w:rPr>
        <w:t>overseeing our day-to-day operations. Our management may be unable to devote sufficient time and attention to such projects, as well as our operating properties, which may result in delays in the construction or opening of any of our current or future projects, cause construction cost overruns or cause the performance of our operating properties to be lower than expected, which could have a material adverse effect on our business, financial condition and results of operations.</w:t>
      </w:r>
    </w:p>
    <w:p>
      <w:pPr>
        <w:spacing w:after="0" w:line="274" w:lineRule="exact"/>
        <w:rPr>
          <w:sz w:val="20"/>
          <w:szCs w:val="20"/>
          <w:color w:val="auto"/>
        </w:rPr>
      </w:pPr>
    </w:p>
    <w:p>
      <w:pPr>
        <w:ind w:left="30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substantially on the continuing efforts of our senior management, and our business may be severely disrupted if we lose their services.</w:t>
      </w:r>
    </w:p>
    <w:p>
      <w:pPr>
        <w:spacing w:after="0" w:line="38"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place substantial reliance on the gaming, project development and hospitality industry experience and knowledge of the Macau, the Philippine and the Cyprus markets possessed by members of our board of directors, our senior management team, as well as other management personnel. We may experience changes in our key management in the future, including for reasons beyond our control. The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key management personnel could be difficult, and competition for personnel of similar experience could be intense in Macau, the Philippines and Cyprus. In addition, we do not currently carry key person insurance on any members of our senior management team.</w:t>
      </w:r>
    </w:p>
    <w:p>
      <w:pPr>
        <w:spacing w:after="0" w:line="274"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success of our business depends on our ability to attract and retain an adequate number of qualified personnel. A limited labor supply, increased competition and any increase in demands from our employees could cause labor costs to increase.</w:t>
      </w:r>
    </w:p>
    <w:p>
      <w:pPr>
        <w:spacing w:after="0" w:line="38"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The pool of experienced gaming and other skilled and unskilled personnel in Macau, the Philippines and Cyprus is limited. Our demand remains high for personnel occupying sensitive positions that require qualifications sufficient to meet gaming regulations and other requirements or skills and knowledge. Competitive demand for qualified personnel is expected to continue in Macau and the Philippines. The limited supply and competition in the labor market could cause our labor costs to increase.</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Macau government policy prohibits us from hiring non-Macau resident dealers and supervisors. In addition, the Macau government has continuously stressed that it will continue to monitor the proportion of management positions held by Macau residents and implement measures to ensure such proportion remains no less than 85% of senior and mid-management positions. Due to the increased competition in the labor market and the relevant regulatory restrictions, we cannot assure you that we will be able to attract and retain a sufficient number of qualified individuals to operate our properties, or that costs to recruit and retain such personnel will not increase significantly. In addition, we have previously been subject to certain labor demands in Macau. The inability to attract, retain and motivate qualified employees and management personnel and to continuously optimize our workforce based on changing business demands could have a material adverse effect on our business.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920"/>
          </w:cols>
          <w:pgMar w:left="320" w:top="472"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Further, the Macau government is currently enforcing a labor policy pursuant to which the ratio of local to foreign workers that may be recruited is determined on a case-by-case basis and, in relation to construction work, must be at least 1:1 unless otherwise authorized by the Macau government. Such a policy could have a material adverse effect on our ability to complete work on our properties. Moreover, if the Macau government enforces similar restrictive ratios in other areas, such as the gaming, hotel and entertainment sectors, or imposes additional restrictions on the hiring of foreign workers generally, this could have a material adverse effect on the operation of our properties.</w:t>
      </w:r>
    </w:p>
    <w:p>
      <w:pPr>
        <w:spacing w:after="0" w:line="171" w:lineRule="exact"/>
        <w:rPr>
          <w:sz w:val="20"/>
          <w:szCs w:val="20"/>
          <w:color w:val="auto"/>
        </w:rPr>
      </w:pPr>
    </w:p>
    <w:p>
      <w:pPr>
        <w:jc w:val="both"/>
        <w:ind w:left="300" w:right="400" w:firstLine="960"/>
        <w:spacing w:after="0" w:line="276" w:lineRule="auto"/>
        <w:rPr>
          <w:sz w:val="20"/>
          <w:szCs w:val="20"/>
          <w:color w:val="auto"/>
        </w:rPr>
      </w:pPr>
      <w:r>
        <w:rPr>
          <w:rFonts w:ascii="Times New Roman" w:cs="Times New Roman" w:eastAsia="Times New Roman" w:hAnsi="Times New Roman"/>
          <w:sz w:val="17"/>
          <w:szCs w:val="17"/>
          <w:color w:val="auto"/>
        </w:rPr>
        <w:t>In the Philippines, the Philippine License requires that at least 95% of City of Dreams Manila’s total employees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w:t>
      </w:r>
    </w:p>
    <w:p>
      <w:pPr>
        <w:spacing w:after="0" w:line="162" w:lineRule="exact"/>
        <w:rPr>
          <w:sz w:val="20"/>
          <w:szCs w:val="20"/>
          <w:color w:val="auto"/>
        </w:rPr>
      </w:pPr>
    </w:p>
    <w:p>
      <w:pPr>
        <w:ind w:left="300" w:right="220" w:firstLine="960"/>
        <w:spacing w:after="0" w:line="266" w:lineRule="auto"/>
        <w:rPr>
          <w:sz w:val="20"/>
          <w:szCs w:val="20"/>
          <w:color w:val="auto"/>
        </w:rPr>
      </w:pPr>
      <w:r>
        <w:rPr>
          <w:rFonts w:ascii="Times New Roman" w:cs="Times New Roman" w:eastAsia="Times New Roman" w:hAnsi="Times New Roman"/>
          <w:sz w:val="17"/>
          <w:szCs w:val="17"/>
          <w:color w:val="auto"/>
        </w:rPr>
        <w:t>Since 2019, the Kilusan ng Manggagawang Makabayan (KMM-Katipunan) Melco Resorts Leisure (PHP) Corporation — Table Games Division — Chapter, or KMM-MELCO TGD, has represented the rank-and-file employees of the Table Games Division of City of Dreams Manila as the latter’s sole and exclusive bargaining agent. The 2022-2024 Collective Bargaining Agreement between KMM-MELCO TGD and Melco Resorts Leisure expired on June 30, 2024, and on August 26, 2025, Melco Resorts Leisure and KMM-MELCO TGD Union signed the Collective Bargaining Agreement with effect from July 1, 2024 to June 30, 2027.</w:t>
      </w:r>
    </w:p>
    <w:p>
      <w:pPr>
        <w:spacing w:after="0" w:line="171"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November 2024, a second union, the Kilusan ng Manggagawang Makabayan (KMM-Katipunan) Melco Resorts Leisure (PHP) Corporation — Gaming Technology Services Department — Chapter, or KMM-MELCO-GTS, filed a petition before the Department of Labor requesting for an election by the relevant employees for the KMM-MELCO-GTS to be certified as the sole bargaining agent for their department. The certification election conducted on February 7, 2025 yielded an affirmative vote certifying the KMM-MELCO-GTS as the exclusive bargaining representative of the rank-and-file employees of the Gaming Technology Services Department. As such, negotiation proceedings between Melco Resorts Leisure and KMM-MELCO-GTS have commenced.</w:t>
      </w:r>
    </w:p>
    <w:p>
      <w:pPr>
        <w:spacing w:after="0" w:line="173" w:lineRule="exact"/>
        <w:rPr>
          <w:sz w:val="20"/>
          <w:szCs w:val="20"/>
          <w:color w:val="auto"/>
        </w:rPr>
      </w:pPr>
    </w:p>
    <w:p>
      <w:pPr>
        <w:ind w:left="300" w:right="120" w:firstLine="960"/>
        <w:spacing w:after="0" w:line="265" w:lineRule="auto"/>
        <w:rPr>
          <w:sz w:val="20"/>
          <w:szCs w:val="20"/>
          <w:color w:val="auto"/>
        </w:rPr>
      </w:pPr>
      <w:r>
        <w:rPr>
          <w:rFonts w:ascii="Times New Roman" w:cs="Times New Roman" w:eastAsia="Times New Roman" w:hAnsi="Times New Roman"/>
          <w:sz w:val="17"/>
          <w:szCs w:val="17"/>
          <w:color w:val="auto"/>
        </w:rPr>
        <w:t>Any demand or activities of such collective bargaining agent, including in relation to entry into any new or updated collective bargaining agreement, or any additional collective bargaining agents that may be certified by the Philippines Department of Labor in the future, could have a material adverse effect on the business and operations of City of Dreams Manila or our financial condition and results of operations. The impact of any union activity is difficult to predict, and, if not resolved in a timely and cost-effective manner, industrial action or other labor unrest could prevent or hinder our operations from being carried out as we expect and could have a material adverse effect on our business, results of operations and financial condition.</w:t>
      </w:r>
    </w:p>
    <w:p>
      <w:pPr>
        <w:spacing w:after="0" w:line="384"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In Cyprus, there is also a risk that our employees may organize or become part of a collective bargaining agreement or trade union. There is a shortage of experienced gaming and other skilled and unskilled personnel as Cyprus is a relatively new gaming market and we also compete with other local hotels and resorts for non-gaming personnel in the hospitality sector.</w:t>
      </w:r>
    </w:p>
    <w:p>
      <w:pPr>
        <w:spacing w:after="0" w:line="162"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Moreover, casino resort employers may also contest the hiring of their former employees by us. There can be no assurance that any such claim will not be successful or other similar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940"/>
          </w:cols>
          <w:pgMar w:left="320" w:top="472"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right="5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38"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We currently have various insurance policies providing certain coverage typically required by gaming and hospitality operations in Macau. In addition, we maintain various types of insurance policies for all of our properties, including mainly property damage, business interruption, general liability and crime insurance policies. In the Philippines, we also maintain a surety bond required by PAGCOR, which secures the prompt payment by Melco Resorts Leisure of the monthly licensee fees due to PAGCOR. These insurance policies provide coverage that is subject to policy terms, conditions and limits. There is no assurance that we will be able to renew such insurance coverage on equivalent premium costs, terms, conditions and limits upon their expiration. Certain events, such as typhoons and fires, have increased our premium costs and reduced policy limits.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 Our cyber insurance may not cover all expenses and losses arising from any cybersecurity incidents and, accordingly, such breaches or other compromises of our information security or that of its third-party service providers or business partners may have an adverse impact on our operating results and financial condition.</w:t>
      </w:r>
    </w:p>
    <w:p>
      <w:pPr>
        <w:spacing w:after="0" w:line="391"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We cannot assure you that any such insurance policies we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may not be successful in obtaining insurance without increases in cost or decreases in coverage levels. In addition, in the event of a substantial loss, the insurance coverage we carry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terrorist acts or cybersecurity attacks, we may suffer a 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174"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There is limited available insurance in the jurisdictions in which we may operate, and our insurers may need to secure reinsurance in order to provide adequate cover for our property and development projects. Our credit agreements, our gaming concession in Macau, the Philippine License granted by PAGCOR and certain other material agreements require a certain level of insurance to be maintained, which must be obtained in Macau and the Philippines, respectively, unless otherwise authorized by the respective counterparties. Failure to maintain adequate coverage could be an event of default under our credit agreements, our gaming concession in Macau or the Philippine License and may have a material adverse effect on our business, financial condition, results of operations and cash flows.</w:t>
      </w:r>
    </w:p>
    <w:p>
      <w:pPr>
        <w:spacing w:after="0" w:line="274" w:lineRule="exact"/>
        <w:rPr>
          <w:sz w:val="20"/>
          <w:szCs w:val="20"/>
          <w:color w:val="auto"/>
        </w:rPr>
      </w:pPr>
    </w:p>
    <w:p>
      <w:pPr>
        <w:ind w:left="300"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Gaming inherently involves elements of chance that are beyond our control, and as a result our revenues may be volatile and the winnings of our patrons could exceed our casino winnings at particular times during our operations.</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gaming industry is characterized by the element of chance. In addition to the element of chance, theoretical expected win rates are also affected by other factors, including players’ skills and experience, the mix of games played, the financial resources of players, the spread of table limits, the volume and mix of bets placed by our players, the amount of time players spend on gambling and the number of our players. As a result, our actual win rates may differ greatly over short time periods, such as from quarter to quarter, and could cause our quarterly results to be volatile. Each of these factors, alone or in combination, have the potential to negatively</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960"/>
          </w:cols>
          <w:pgMar w:left="320" w:top="472" w:right="6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impact our win rates, and our business, financial condition and results of operations could be materially and adversely affected.</w:t>
      </w:r>
    </w:p>
    <w:p>
      <w:pPr>
        <w:spacing w:after="0" w:line="223"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Our revenues are mainly derived from the difference between our casino winnings and the winnings of our casino patrons. Since there are inherent elements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gaming business is subject to the risk of cheating and counterfeiting.</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operations.</w:t>
      </w:r>
    </w:p>
    <w:p>
      <w:pPr>
        <w:spacing w:after="0" w:line="171"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Gaming customers may attempt or commit fraud or cheat in order to increase their winnings, including in collusion with the casino’s staff. Internal acts of cheating could also be conducted by staff through collusion with dealers, surveillance staff, floor managers or other gaming area staff. 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71"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Our operations are reviewed to detect and prevent cheating. Each game has a theoretical win rate and statistics are examined with these in mind. Cheating may give rise to negative publicity and such action may materially affect our business, financial condition, operations and cash flows.</w:t>
      </w:r>
    </w:p>
    <w:p>
      <w:pPr>
        <w:spacing w:after="0" w:line="247" w:lineRule="exact"/>
        <w:rPr>
          <w:sz w:val="20"/>
          <w:szCs w:val="20"/>
          <w:color w:val="auto"/>
        </w:rPr>
      </w:pPr>
    </w:p>
    <w:p>
      <w:pPr>
        <w:ind w:left="300" w:right="2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38"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Our operations could be, and in certain cases, such as in relation to COVID-19, have been adversely affected by the outbreak of widespread health epidemics or pandemics, such as swine flu, avian influenza, severe acute respiratory syndrome (SARS), Middle East respiratory syndrome (MERS), Zika, Ebola and COVID-19. The occurrence of such health epidemics or pandemics, prolonged outbreak of an epidemic illness or other adverse public health developments in China or elsewhere in the world could materially disrupt our business and operations. Such events could significantly impact our industry and cause severe travel restrictions within China or elsewhere in the world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w:t>
      </w:r>
    </w:p>
    <w:p>
      <w:pPr>
        <w:spacing w:after="0" w:line="175"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There can be no assurance that any reemergence or outbreak of COVID-19,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940"/>
          </w:cols>
          <w:pgMar w:left="320" w:top="472"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China or global economy in general.</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Health and safety or food safety incidents at our properties may lead to reputational damage and financial exposures.</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provide goods and services to a significant number of customers on a daily basis at our properties. In particular, with attractions, entertainment and food and beverage offerings at our properties,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our properties. See “— We are subject to risks relating to litigation, disputes and regulatory investigations and proceedings which may adversely affect our profitability, financial condition, reputation and prospects.”</w:t>
      </w:r>
    </w:p>
    <w:p>
      <w:pPr>
        <w:spacing w:after="0" w:line="274" w:lineRule="exact"/>
        <w:rPr>
          <w:sz w:val="20"/>
          <w:szCs w:val="20"/>
          <w:color w:val="auto"/>
        </w:rPr>
      </w:pPr>
    </w:p>
    <w:p>
      <w:pPr>
        <w:ind w:left="300"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Unfavorable fluctuations in the currency exchange rates of the H.K. dollar, U.S. dollar, the Pataca, the Philippine peso, the Euro or the Sri Lankan rupee and other risks related to foreign exchange and currencies, including restrictions on conversions and/or repatriation of foreign currencies, could adversely affect our indebtedness, expenses, profitability and financial condition.</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exposure to foreign exchange rate risk is associated with the currency of our operations, our indebtedness and as a result of</w:t>
      </w:r>
    </w:p>
    <w:p>
      <w:pPr>
        <w:spacing w:after="0" w:line="32"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7"/>
          <w:szCs w:val="17"/>
          <w:color w:val="auto"/>
        </w:rPr>
        <w:t>the presentation of our financial statements in U.S. dollars. The majority of our current revenues are denominated in H.K. dollars, given the H.K. dollar is the predominant currency used in gaming transactions in Macau and is often used interchangeably with the Pataca in Macau. Our current expenses are denominated predominantly in Patacas, H.K. dollars, the Philippine pesos, the Euro and the Sri Lankan rupees. In addition, we have revenues, assets, debt and expenses denominated in Philippine pesos, in Euros and in Sri Lankan rupees relating to our businesses in the Philippines, Cyprus and Sri Lanka, respectively. We also have subsidiaries, branch offices and assets in various countries and regions, including Singapore, Thailand and</w:t>
      </w:r>
    </w:p>
    <w:p>
      <w:pPr>
        <w:spacing w:after="0" w:line="3" w:lineRule="exact"/>
        <w:rPr>
          <w:sz w:val="20"/>
          <w:szCs w:val="20"/>
          <w:color w:val="auto"/>
        </w:rPr>
      </w:pPr>
    </w:p>
    <w:p>
      <w:pPr>
        <w:ind w:left="300" w:right="20"/>
        <w:spacing w:after="0" w:line="262" w:lineRule="auto"/>
        <w:rPr>
          <w:sz w:val="20"/>
          <w:szCs w:val="20"/>
          <w:color w:val="auto"/>
        </w:rPr>
      </w:pPr>
      <w:r>
        <w:rPr>
          <w:rFonts w:ascii="Times New Roman" w:cs="Times New Roman" w:eastAsia="Times New Roman" w:hAnsi="Times New Roman"/>
          <w:sz w:val="17"/>
          <w:szCs w:val="17"/>
          <w:color w:val="auto"/>
        </w:rPr>
        <w:t>Taiwan, which are subject to foreign exchange fluctuations and local regulations that may impose, among others, limitations, restrictions or approval requirements on conversions and/or repatriation of foreign currencies. In addition, a significant portion of our indebtedness, including the Melco Resorts Finance Notes and Studio City Notes, and certain expenses, are and are expected to be denominated in U.S. dollars, and the costs associated with servicing and repaying such debt are and are also expected to be denominated in U.S. dollars.</w:t>
      </w:r>
    </w:p>
    <w:p>
      <w:pPr>
        <w:spacing w:after="0" w:line="174"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The value of the H.K. dollar, the Pataca, the Philippine peso, the Euro and the Sri Lankan rupee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the Pataca, the Philippine peso, the Euro or the Sri Lankan rupee to the U.S. dollar may have a material adverse effect on our revenues and financial condition. For example, to the extent that we are required to convert U.S. dollar financings into H.K. dollars or Patacas for our operations, fluctuations in exchange rates between the H.K. dollar or Pataca against the U.S. dollar could have an adverse effect on the amounts we receive from the conversion.</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940"/>
          </w:cols>
          <w:pgMar w:left="320" w:top="472"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We maintain a certain amount of our operating funds in the same currencies in which we have obligations in order to reduce our exposure to currency fluctuations, and we have entered into foreign exchange hedging transactions for a portion of our debt. We have not, however, engaged in hedging transactions with respect to foreign exchange exposure of our revenues and expenses in our day-to-day operations during the years ended December 31, 2025 and 2024.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388"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Furthermore, the PRC government has tightened currency exchange controls and restrictions on the export and conversion of the Renminbi in recent years. Restrictions on the export of the Renminbi, as well as the increased effectiveness of such restrictions, may impede the flow of gaming patrons from mainland China to Macau and/or from China to the Philippines, Sri Lanka or outside of Asia, inhibit the growth of gaming in those markets and negatively impact our gaming operations.</w:t>
      </w:r>
    </w:p>
    <w:p>
      <w:pPr>
        <w:spacing w:after="0" w:line="270" w:lineRule="exact"/>
        <w:rPr>
          <w:sz w:val="20"/>
          <w:szCs w:val="20"/>
          <w:color w:val="auto"/>
        </w:rPr>
      </w:pPr>
    </w:p>
    <w:p>
      <w:pPr>
        <w:ind w:left="300" w:right="4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may undertake mergers, acquisitions, strategic transactions, investments or divestments that are not realized or may result in operating difficulties, distractions from our current businesses or a material and adverse effect on our business and financial condition and subject us to regulatory and legal inquiries and proceedings or investigations.</w:t>
      </w:r>
    </w:p>
    <w:p>
      <w:pPr>
        <w:spacing w:after="0" w:line="57" w:lineRule="exact"/>
        <w:rPr>
          <w:sz w:val="20"/>
          <w:szCs w:val="20"/>
          <w:color w:val="auto"/>
        </w:rPr>
      </w:pPr>
    </w:p>
    <w:p>
      <w:pPr>
        <w:ind w:left="300" w:right="200" w:firstLine="960"/>
        <w:spacing w:after="0" w:line="262" w:lineRule="auto"/>
        <w:rPr>
          <w:sz w:val="20"/>
          <w:szCs w:val="20"/>
          <w:color w:val="auto"/>
        </w:rPr>
      </w:pPr>
      <w:r>
        <w:rPr>
          <w:rFonts w:ascii="Times New Roman" w:cs="Times New Roman" w:eastAsia="Times New Roman" w:hAnsi="Times New Roman"/>
          <w:sz w:val="17"/>
          <w:szCs w:val="17"/>
          <w:color w:val="auto"/>
        </w:rPr>
        <w:t>We have made, and may in the future make, acquisitions, investments, divestments or strategic transactions in companies or projects to expand or complement our existing operations. From time to time, we engage in discussions and negotiations with companies regarding acquisitions, investments, divestments or other strategic transactions, which may be material or significant, in such companies or projects. For example, the discussions and negotiations between us and Melco International led to our acquisition of 75% ownership interest in ICR Cyprus from Melco International, through which we expanded our operations to Cyprus. With this acquisition, our business expanded to the European region and includes City of Dreams Mediterranean, a new integrated casino resort in Cyprus. Our expanded operations in Cyprus require significant resources and investments and we may in the future make other acquisitions, investments or strategic transactions that require significant capital commitments and resources.</w:t>
      </w:r>
    </w:p>
    <w:p>
      <w:pPr>
        <w:spacing w:after="0" w:line="175"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Should we pursue acquisitions in mainland China, we will be subject to a variety of PRC anti-monopoly laws. In recent years, additional regulations have been implemented which make merger and acquisition activities by foreign investors more time-consuming and complex. The Measures for the Security Review of Foreign Investments promulgated by National Development and Reform Commission, or the NDRC, and Ministry of Commerce, which became effective from January 2021, require that a security review by relevant governmental authorities must be conducted for foreign investments that affect or may affect national security in accordance with the provisions thereunder. In November 2021, the State Council inaugurated the National Anti-Monopoly Bureau, which aims to further implement fair competition policies and strengthen anti-monopoly supervision in mainland China, particularly to strengthen oversight and law enforcement in areas involving innovation, science and technology, information security and people’s livelihoods. Any failure or perceived failure by us to comply with the anti-monopoly laws and regulations may result in governmental investigations or enforcement actions, lawsuits or claims against us and could have an adverse effect on our business, financial condition and results of operations.</w:t>
      </w:r>
    </w:p>
    <w:p>
      <w:pPr>
        <w:spacing w:after="0" w:line="387" w:lineRule="exact"/>
        <w:rPr>
          <w:sz w:val="20"/>
          <w:szCs w:val="20"/>
          <w:color w:val="auto"/>
        </w:rPr>
      </w:pPr>
    </w:p>
    <w:p>
      <w:pPr>
        <w:jc w:val="both"/>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Any integration process that would follow any of our acquisitions, investments or strategic transactions, including our acquisition of 75% equity interest in ICR Cyprus, may prove more difficult than anticipated. We may be subject to liabilities or claims that we are not aware of at the time of the investment or acquisition, and we may not realize the benefits anticipated at the time of the investment or acquisition. Any benefits anticipated at the time of the investment or acquisition may also not be realized, or may be impacted,</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960"/>
          </w:cols>
          <w:pgMar w:left="320" w:top="472" w:right="6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4" w:lineRule="auto"/>
        <w:rPr>
          <w:sz w:val="20"/>
          <w:szCs w:val="20"/>
          <w:color w:val="auto"/>
        </w:rPr>
      </w:pPr>
      <w:r>
        <w:rPr>
          <w:rFonts w:ascii="Times New Roman" w:cs="Times New Roman" w:eastAsia="Times New Roman" w:hAnsi="Times New Roman"/>
          <w:sz w:val="17"/>
          <w:szCs w:val="17"/>
          <w:color w:val="auto"/>
        </w:rPr>
        <w:t>due to factors beyond our control. For example, in Cyprus, our operations have been negatively affected by, among others, the military conflict between Russia and Ukraine, the Israel-Hamas conflict and other conflicts in the Middle East, including between the United States, Israel and Iran. These difficulties could disrupt our ongoing business, distract our management and employees, increase our expenses and liabilities, result in losses, including in material amounts, and may adversely affect our businesses,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w:t>
      </w:r>
    </w:p>
    <w:p>
      <w:pPr>
        <w:spacing w:after="0" w:line="173"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We may also, from time to time, receive inquiries from regulatory and legal authorities and become subject to regulatory and legal proceedings or investigations in connection with our acquisitions, investments, divestments or strategic transactions in companies or projects, which may delay or materially impact the completion of such acquisitions, investments, divestments or strategic transactions. Any such regulatory and legal proceedings or investigations may materially and adversely affect our business, operations, financial condition and prospects.</w:t>
      </w:r>
    </w:p>
    <w:p>
      <w:pPr>
        <w:spacing w:after="0" w:line="270" w:lineRule="exact"/>
        <w:rPr>
          <w:sz w:val="20"/>
          <w:szCs w:val="20"/>
          <w:color w:val="auto"/>
        </w:rPr>
      </w:pPr>
    </w:p>
    <w:p>
      <w:pPr>
        <w:ind w:left="300" w:right="5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relating to any expansion of our operations and entry into new markets through mergers, acquisitions, strategic transactions or investments.</w:t>
      </w:r>
    </w:p>
    <w:p>
      <w:pPr>
        <w:spacing w:after="0" w:line="38"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have expanded our operations and entered into new markets in the past through acquisitions and strategic transactions. See also “— We may undertake mergers, acquisitions, strategic transactions, investments or divestments that are not realized or may result in operating difficulties, distractions from our current businesses or a material and adverse effect on our business and financial condition and subject us to regulatory and legal inquiries and proceedings or investigations.”</w:t>
      </w:r>
    </w:p>
    <w:p>
      <w:pPr>
        <w:spacing w:after="0" w:line="169"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We continue to evaluate and consider a wide array of potential strategic transactions as part of our overall business strategy. Any future expansion of our operations or our entry into new markets through mergers, acquisitions, strategic transactions or investments may subject us to:</w:t>
      </w:r>
    </w:p>
    <w:p>
      <w:pPr>
        <w:spacing w:after="0" w:line="55" w:lineRule="exact"/>
        <w:rPr>
          <w:sz w:val="20"/>
          <w:szCs w:val="20"/>
          <w:color w:val="auto"/>
        </w:rPr>
      </w:pPr>
    </w:p>
    <w:p>
      <w:pPr>
        <w:ind w:left="1240" w:right="120" w:hanging="530"/>
        <w:spacing w:after="0" w:line="295"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costs for complying with local laws, rules, regulations and policies as well as other local practices and customs in new markets, including establishing business and regulatory compliance programs;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 or currency restructurings;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penalties on the repatriation of earnings;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changes in regulatory requirements;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as to local laws and enforcement of contract and intellectual property rights; and</w:t>
      </w:r>
    </w:p>
    <w:p>
      <w:pPr>
        <w:spacing w:after="0" w:line="131" w:lineRule="exact"/>
        <w:rPr>
          <w:rFonts w:ascii="Times New Roman" w:cs="Times New Roman" w:eastAsia="Times New Roman" w:hAnsi="Times New Roman"/>
          <w:sz w:val="17"/>
          <w:szCs w:val="17"/>
          <w:color w:val="auto"/>
        </w:rPr>
      </w:pPr>
    </w:p>
    <w:p>
      <w:pPr>
        <w:ind w:left="1240" w:right="820" w:hanging="530"/>
        <w:spacing w:after="0" w:line="295"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economic and political policies and conditions, political or civil unrest, acts of terrorism or the threat of international boycotts.</w:t>
      </w:r>
    </w:p>
    <w:p>
      <w:pPr>
        <w:spacing w:after="0" w:line="147"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These factors and the impact of these factors on our business and operations are difficult to predict and may have material adverse effect on our business and prospects, financial condition and results of operations.</w:t>
      </w:r>
    </w:p>
    <w:p>
      <w:pPr>
        <w:spacing w:after="0" w:line="247"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litigation, disputes and regulatory investigations and proceedings which may adversely affect our profitability, financial condition, reputation and prospects.</w:t>
      </w:r>
    </w:p>
    <w:p>
      <w:pPr>
        <w:spacing w:after="0" w:line="38" w:lineRule="exact"/>
        <w:rPr>
          <w:sz w:val="20"/>
          <w:szCs w:val="20"/>
          <w:color w:val="auto"/>
        </w:rPr>
      </w:pPr>
    </w:p>
    <w:p>
      <w:pPr>
        <w:jc w:val="both"/>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We are, and may in the future be, subject to legal actions, disputes and regulatory investigations in the ordinary course of our business. We are also subject to risks relating to legal, administrative and regulatory proceedings and investigations which we or our affiliates are or may be a party to from time to time, or which could develop in the future, as well as fines or other penalties which may be imposed on us in connection with any requisite permit, license or other approval for our business and operations. Any adverse outcome may cause</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960"/>
          </w:cols>
          <w:pgMar w:left="320" w:top="472" w:right="6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material disruptions to our normal business operations. In addition, litigation, dispute, administrative and regulatory proceedings can be costly and time-consuming and may divert management attention and resources from our operations. We could incur significant defense costs and, in the event of an adverse outcome, be required to pay damages and interest to the prevailing party and be held responsible for the costs of the prevailing party. Our reputation may also be adversely affected by our involvement or the involvement of our affiliates in litigation, dispute, administrative and regulatory proceedings. In addition, we and our affiliates operate or have interests in a number of jurisdictions in which regulatory and government authorities have wide discretion to take procedural actions in support of their investigations and regulatory proceedings, including seizures and freezing of assets and other properties that are perceived to be connected or related to such investigations or regulatory proceedings. Given such wide discretion, regulatory or government authorities may take procedural or other actions that may affect our assets and properties in connection with any investigation or legal, administrative or regulatory proceeding involving us, any of our affiliates, or third parties, which may materially affect our business, financial condition or results of operations.</w:t>
      </w:r>
    </w:p>
    <w:p>
      <w:pPr>
        <w:spacing w:after="0" w:line="387"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disputes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extend credit to a portion of our customers, and we may not be able to collect gaming receivables from our credit customers.</w:t>
      </w:r>
    </w:p>
    <w:p>
      <w:pPr>
        <w:spacing w:after="0" w:line="122"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We conduct, and expect to continue to conduct, our gaming activities at our casinos on a credit basis as well as a cash basis. We grant credit to certain players and, where permitted, certain customers of gaming promoters. In markets where we engage gaming promoters and the grant of credit is permitted, such as the Philippines and Cyprus, we grant credit to certain gaming promoters. Gaming promoters bear the responsibility for issuing credit and subsequently collecting the credit they granted. We extend credit, often on an unsecured basis, to certain gaming promoters and VIP patrons whose level of play and financial resources warrant such an extension in our opinion. High-end patrons typically are extended more credit than patrons who wager lower amounts. Any slowdown in the economy could adversely impact our patrons to whom we extend credit, which could in turn increase the risk that these clients may default on credit extended to them.</w:t>
      </w:r>
    </w:p>
    <w:p>
      <w:pPr>
        <w:spacing w:after="0" w:line="173"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We may not be able to collect all of our gaming receivables from, or fully realize the value of collateral posted by, our credit customers. We expect that we will be able to enforce our gaming receivables only in a limited number of jurisdictions including Macau, the Philippines, Cyprus, Sri Lanka and, under certain circumstances, Hong Kong, the U.S., Australia and Canada. As most of our customers in Macau are visitors from other jurisdictions, we may not have access to a forum in which we will be able to collect all of our gaming receivables because, among other reasons, courts in many jurisdictions, do not enforce gaming debts. Further, we may be unable to locate assets in other jurisdictions against which recovery of gaming debts can be sought. The collectability of receivables from our credit customers and, in particular, our international credit customers, could be negatively affected by future business or economic trends or by significant events in the jurisdictions in which these customers reside, or in which their assets are located. We may also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the event a credit customer suffers losses in connection with any gaming activities at our properties and receivables from such customer are uncollectible, gaming taxes or license fees (as the case may be) will still be payable on the resulting gaming revenues, notwithstanding any receivables owed by such customer to us may be uncollectible. An estimated allowance for credit losses is maintained to reduce our receivables to their carrying amounts, which approximate fair values.</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940"/>
          </w:cols>
          <w:pgMar w:left="320" w:top="472"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financial plans may be negatively impacted by any contraction in the availability and significant increase in the cost of credit.</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Our business and financing plans may be dependent upon the completion of future financings. Any contraction of liquidity in the global credit markets and/or a significant increase in interest rates may make it difficult and costly to obtain new lines of credit or to refinance existing debt and may place broad limitations on the availability of credit from credit sources as well as lengthen the recovery cycle of extended credit. Any deterioration in the credit environment may cause us to have difficulty in obtaining additional financing on acceptable terms, or at all, which could adversely affect our ability to complete current and future projects and/or refinance existing debt on a timely basis. Tightening of liquidity conditions in credit markets and material rises in the cost of funding may also constrain revenue generation and growth and could have a material adverse effect on our business,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Rolling chip patrons and VIP gaming customers may cause significant volatility in our revenues and cash flows.</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A portion of our casino revenues in Macau are generated from the rolling chip operations of the gaming market. Similarly, City of Dreams Manila also attracts foreign gaming visitors, particularly VIP players who typically place large individual wagers. The loss or a reduction in the play of the most significant of these rolling chip patrons or VIP gaming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results of operations and cash flows from operations may be more volatile from quarter to quarter than that of our competitors and consequently may require higher levels of cage cash in reserve to manage this volatility.</w:t>
      </w:r>
    </w:p>
    <w:p>
      <w:pPr>
        <w:spacing w:after="0" w:line="274" w:lineRule="exact"/>
        <w:rPr>
          <w:sz w:val="20"/>
          <w:szCs w:val="20"/>
          <w:color w:val="auto"/>
        </w:rPr>
      </w:pPr>
    </w:p>
    <w:p>
      <w:pPr>
        <w:ind w:left="300" w:right="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depend upon gaming promoters for a portion of our gaming revenues. If we are unable to establish or maintain the number of successful relationships with gaming promoters,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w:t>
      </w:r>
    </w:p>
    <w:p>
      <w:pPr>
        <w:spacing w:after="0" w:line="62"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Historically, VIP rolling chip patrons introduced to us by gaming promoters were responsible for a significant portion of our gaming revenues in Macau. However, significantly increased regulatory scrutiny of gaming promoters in Macau has resulted, and may continue to result, in restrictions on their activities and the cessation of business of many gaming promoters. In addition, changes to the legal and regulatory framework in China has also affected gaming promoters in Macau. For example, amendments to China’s criminal laws, which provide that anyone that organizes trips for mainland China citizens for the purpose of gambling outside of mainland China, including Macau, may be deemed to have conducted a criminal act, came into effect on March 1, 2021. In late 2021 and early 2022, the Macau authorities arrested executives from gaming promoters for alleged illegal overseas gaming related activities. In 2023, certain of these individuals were sentenced to jail terms in addition to the payment of monetary compensation to the Macau SAR. In the event gaming promoters are subject to additional restrictions and regulatory scrutiny in Macau and we, or the gaming promoters we engage, are unable to successfully attract VIP rolling chip patrons, our business, financial condition and results of operations could be affected materially and adversely. As of the end of 2025, we had six gaming promoters operating at City of Dreams in Macau. For a further discussion of restrictions on gaming promoters in Macau, see “— Adverse changes or developments in gaming laws or other regulations in Macau that affect our operations could be difficult to comply with or may significantly increase our costs, which could cause our projects to be unsuccessful.”</w:t>
      </w:r>
    </w:p>
    <w:p>
      <w:pPr>
        <w:spacing w:after="0" w:line="177"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As of the end of 2025, we had arrangements with six gaming promoters in the Philippines. In the event we are unable or choose not to partner with additional gaming promoters in the Philippines or are unable to</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940"/>
          </w:cols>
          <w:pgMar w:left="320" w:top="472"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60"/>
        <w:spacing w:after="0" w:line="295" w:lineRule="auto"/>
        <w:rPr>
          <w:sz w:val="20"/>
          <w:szCs w:val="20"/>
          <w:color w:val="auto"/>
        </w:rPr>
      </w:pPr>
      <w:r>
        <w:rPr>
          <w:rFonts w:ascii="Times New Roman" w:cs="Times New Roman" w:eastAsia="Times New Roman" w:hAnsi="Times New Roman"/>
          <w:sz w:val="17"/>
          <w:szCs w:val="17"/>
          <w:color w:val="auto"/>
        </w:rPr>
        <w:t>successfully operate our VIP rolling chip operations with reduced reliance on customers introduced by gaming promoters or expand our mass market operation in the Philippines, our business, financial condition and results of operations could be affected materially and adversely.</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of the end of 2025, we had arrangements with three licensed gaming promoters in Cyprus.</w:t>
      </w:r>
    </w:p>
    <w:p>
      <w:pPr>
        <w:spacing w:after="0" w:line="223"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If we are unable to utilize, maintain, resume and/or develop relationships with gaming promoters and, in the case of Cyprus, if the number of licensed gaming promoters do not significantly increase in the future,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to gaming promoters, including extensions of credit where permitted, which may increase our overall credit exposure or to find alternate ways of attracting such patrons which may not be as effective as gaming promoters or may increase our marketing expenses.</w:t>
      </w:r>
    </w:p>
    <w:p>
      <w:pPr>
        <w:spacing w:after="0" w:line="17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In addition, in markets where we use gaming promoters, such gaming promoters may encounter difficulties in attracting patrons to come to our casinos. For example, gaming promoters may experience decreased liquidity, limiting their ability to grant credit to their patrons where permitted, resulting in decreased gaming volume in the affected casinos. Credit already extended by our gaming promoters may become increasingly difficult to collect.</w:t>
      </w:r>
    </w:p>
    <w:p>
      <w:pPr>
        <w:spacing w:after="0" w:line="270" w:lineRule="exact"/>
        <w:rPr>
          <w:sz w:val="20"/>
          <w:szCs w:val="20"/>
          <w:color w:val="auto"/>
        </w:rPr>
      </w:pPr>
    </w:p>
    <w:p>
      <w:pPr>
        <w:ind w:left="300" w:right="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are impacted by the reputation and integrity of the parties with whom we engage in business activities, including gaming promoters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 relationships with, and possibly result in sanctions from, gaming regulators.</w:t>
      </w:r>
    </w:p>
    <w:p>
      <w:pPr>
        <w:spacing w:after="0" w:line="62"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The reputation and integrity of the parties with whom we engage in business activities are important to our own reputation and our ability to continue to operate in compliance with the permits and licenses required for our businesses. These parties include, but are not limited to, those who are engaged in gaming-related activities, such as gaming promoters, developers and hotel, restaurant and night club operators with whom we have or may enter into services or other types of agreements. Under the Macau Gaming Operations Law and Gaming Activities Law, Melco Resorts Macau has an obligation to supervise gaming promoters who operate at our Macau properties to ensure their compliance with applicable laws and regulations. Under the Casino Guide for Fitness and Propriety Assessment for Junket Operators published by PAGCOR in June 2022, all land-based casinos must assess the fitness and propriety nature of its junket or chip-washing operators, its associates/agents/promoters, and applicants for junket operations. To conduct any business activity in licensed casinos, all persons responsible for the operations of junkets and/or applicants for junket operations must demonstrate that they are a “fit and proper” person.</w:t>
      </w:r>
    </w:p>
    <w:p>
      <w:pPr>
        <w:spacing w:after="0" w:line="178"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For parties we deal with in gaming-related activities, where relevant, the gaming regulators also undertake their own probity checks and will reach their own suitability findings in respect of the activities and parties with which we intend to associate.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In addition, if any of our gaming promoters violate applicable laws, the government may, at its discretion, take enforcement action against the gaming promoters and could also seek to impose liability on us for the conduct of the gaming promoters. Also, if a party associated with us falls below the gaming regulator’s suitability standard or if their probity is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940"/>
          </w:cols>
          <w:pgMar w:left="320" w:top="472"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We and our businesses in different jurisdictions are subject to a number of anti-corruption laws, including the U.S. Foreign Corrupt Practices Act, or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Breach of these anti-corruption laws carries severe criminal and civil sanctions as well as other penalties and reputational harm. There has been a general increase in FCPA enforcement activities in recent years by the SEC and the U.S. Department of Justice. Both the number of FCPA cases and sanctions imposed have risen significantly.</w:t>
      </w:r>
    </w:p>
    <w:p>
      <w:pPr>
        <w:spacing w:after="0" w:line="17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There is no assurance that our employees, consultants, contractors and agents, and those of our affiliates, will adhere to our anti-corruption compliance program, or that any action taken to comply with, or address compliance issues, will be considered adequate by the regulatory bodies with jurisdiction over us and our affiliates. Any violation of our compliance programs or applicable laws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gaming licenses, or lead to other adverse consequences on our business, prospects, financial condition and results of operations. As we are a U.S. listed company, certain U.S. laws and regulations apply to our operations and compliance with those laws and regulations increases our cost of doing business. We also deal in significant amounts of cash in our operations and are subject to various reporting and anti-money laundering regulations. Any violation of anti-money laundering laws or regulations by us could have a negative effect on our results of operations.</w:t>
      </w:r>
    </w:p>
    <w:p>
      <w:pPr>
        <w:spacing w:after="0" w:line="278"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 failure to establish and protect our intellectual property rights could have an adverse effect on our business, financial condition and results of operations.</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We have applied for, registered or have the right to use certain trademarks, including “Melco,” “Altira,” “Mocha Club,” “City of Dreams,” “Nüwa,” “Morpheus,” “House of Dancing Water,” “City of Dreams Manila,” “Studio City,” “Melco Resorts Philippines,” “C2”, “Melco Resorts &amp; Entertainment,” “City of Dreams Mediterranean” and “City of Dreams Sri Lanka” in Macau, the Philippines, Cyprus, Sri Lanka and/or other jurisdictions. We have also applied for or registered in Macau, the Philippines, Cyprus and other jurisdictions certain other trademarks and service marks used in connection with the operations of our hotel casino projects in Macau, the Philippines, Cyprus and Sri Lanka. We endeavor to establish and protect our intellectual property rights through trademarks, service marks, domain names, licenses and other contractual provisions. The brands we use in connection with our properties have gained recognition. Failure to possess, obtain or maintain adequate protection of our intellectual property rights could negatively impact our brands and could have a material adverse effect on our business, financial condition and results of operations. For example, third parties may misappropriate or infringe our intellectual property, which may include but not be limited to the use of our intellectual property by offshore gaming websites, including those that may attempt to defraud members of the public. While we may take legal or other appropriate actions against these unauthorized offshore websites, such as by reporting the sites to the appropriate governmental or regulatory authorities, such actions may not be effective or significant expenses could be incurred and such unauthorized activities may draw businesses away from our operations and/or tarnish our reputation, all of which may adversely affect our business, financial condition and results of operations.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infringement or alleged infringement of intellectual property rights belonging to third parties could adversely affect our business.</w:t>
      </w:r>
    </w:p>
    <w:p>
      <w:pPr>
        <w:spacing w:after="0" w:line="12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We face the potential risk of claims that we have infringed upon the intellectual property rights of third parties, which could be expensive and time-consuming to defend. In addition, we may be required to cease using</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940"/>
          </w:cols>
          <w:pgMar w:left="320" w:top="472"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certain intellectual property rights or selling or providing certain products or services, pay significant damages or enter into costly royalty or licensing agreements in order to obtain the right to use a third party’s intellectual property rights (if available at all), any of which could have a negative impact on our business, financial condition and future prospects. Furthermore, if litigation were to result from such claims, our business could be interrupted.</w:t>
      </w:r>
    </w:p>
    <w:p>
      <w:pPr>
        <w:spacing w:after="0" w:line="263"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38" w:lineRule="exact"/>
        <w:rPr>
          <w:sz w:val="20"/>
          <w:szCs w:val="20"/>
          <w:color w:val="auto"/>
        </w:rPr>
      </w:pPr>
    </w:p>
    <w:p>
      <w:pPr>
        <w:ind w:left="300" w:right="80" w:firstLine="960"/>
        <w:spacing w:after="0" w:line="259" w:lineRule="auto"/>
        <w:rPr>
          <w:sz w:val="20"/>
          <w:szCs w:val="20"/>
          <w:color w:val="auto"/>
        </w:rPr>
      </w:pPr>
      <w:r>
        <w:rPr>
          <w:rFonts w:ascii="Times New Roman" w:cs="Times New Roman" w:eastAsia="Times New Roman" w:hAnsi="Times New Roman"/>
          <w:sz w:val="17"/>
          <w:szCs w:val="17"/>
          <w:color w:val="auto"/>
        </w:rPr>
        <w:t>The free ports, offshore financial services and free movement of capital have created an environment whereby casinos in the jurisdictions in which we operate could be exploited for money laundering purposes. We also deal with significant amounts of cash in our regular casino operations. To combat money laundering risks and to comply with various reporting and anti-money laundering regulations and increased audits and inspections from regulators, we have implemented anti-money laundering policies to address those requirements. For example, Philippine laws on anti-money laundering have been amended to include casinos as covered institutions and the Anti-Money Laundering Council and PAGCOR have also released corresponding regulations and guidelines on compliance. In Cyprus, the Prevention and Suppression of Money Laundering and Terrorist Financing Laws of 2007 as amended (“Cyprus AML Law”) was amended and came into effect on January 1, 2025, to prohibit cash payments exceeding EUR10,000 (equivalent to approximately US$11,765) for goods, services and real estate transactions in one or a series of related transactions while a subsequent amendment to the Cyprus AML Law in March 2025 exempted transactions conducted within casinos from this cash limit until 2027 when the European Union’s Anti-Money Laundering Regulation will become applicable to casinos. In addition, the CGC’s anti-money laundering Direction requires us to implement compliance measures to meet obligations relating to our monitoring and control obligations and CGC reporting requirements. We adjusted our anti-money laundering policies for our Philippine and Cyprus operations as a result of these new rules and regulations. Any further changes to anti-money laundering laws and regulations in the jurisdictions in which we operate may require us to adopt changes to our own anti-money laundering policies.</w:t>
      </w:r>
    </w:p>
    <w:p>
      <w:pPr>
        <w:spacing w:after="0" w:line="394"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We cannot assure you that our contractors, agents or employees will continually adhere to any such current or future policies or these policies will be effective in preventing our casino operations from being exploited for money laundering purposes, including from jurisdictions outside of the jurisdictions in which we operate.</w:t>
      </w:r>
    </w:p>
    <w:p>
      <w:pPr>
        <w:spacing w:after="0" w:line="162" w:lineRule="exact"/>
        <w:rPr>
          <w:sz w:val="20"/>
          <w:szCs w:val="20"/>
          <w:color w:val="auto"/>
        </w:rPr>
      </w:pPr>
    </w:p>
    <w:p>
      <w:pPr>
        <w:ind w:left="300" w:right="40" w:firstLine="960"/>
        <w:spacing w:after="0" w:line="259" w:lineRule="auto"/>
        <w:rPr>
          <w:sz w:val="20"/>
          <w:szCs w:val="20"/>
          <w:color w:val="auto"/>
        </w:rPr>
      </w:pPr>
      <w:r>
        <w:rPr>
          <w:rFonts w:ascii="Times New Roman" w:cs="Times New Roman" w:eastAsia="Times New Roman" w:hAnsi="Times New Roman"/>
          <w:sz w:val="17"/>
          <w:szCs w:val="17"/>
          <w:color w:val="auto"/>
        </w:rPr>
        <w:t>There can be no assurance that the anti-money laundering measures we have adopted and undertaken will be effective or considered sufficient by regulatory authorities or that we would not be subject to any accusation or investigation related to any possible money laundering activities or of failure to detect money laundering activities conducted by third parties. In addition, we expect to be required by relevant regulatory authorities from the jurisdictions in which we operate and other jurisdictions that regulate our business activities to attend meetings and interviews from time to time to discuss our operations as they relate to anti-money laundering laws and regulations during which regulatory authorities may make inquiries and take other actions such as compliance audits at their discretion. Any incident of money laundering, accusation of money laundering or regulatory investigations into possible money laundering activities involving us, our employees, our gaming promoters, our customers or others with whom we are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result in restitution or fines or cause a revocation or suspension of our concession and other gaming licenses. For more information regarding anti-money laundering regulations in Macau, the Philippines, Cyprus and Sri Lanka, see “Item 4. Information on the Company — B. Business Overview — Regulations — Macau Regulations — Anti-Money Laundering and Terrorism Financing Regulations,” “Item 4. Information on the Company — B. Business Overview — Regulations — Philippines Regulations — Anti-Money Laundering Regulations in the Philippines,” “Item 4. Information on the Company — B. Business Overview — Regulations</w:t>
      </w: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940"/>
          </w:cols>
          <w:pgMar w:left="320" w:top="472"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40"/>
        <w:spacing w:after="0" w:line="295" w:lineRule="auto"/>
        <w:rPr>
          <w:sz w:val="20"/>
          <w:szCs w:val="20"/>
          <w:color w:val="auto"/>
        </w:rPr>
      </w:pPr>
      <w:r>
        <w:rPr>
          <w:rFonts w:ascii="Times New Roman" w:cs="Times New Roman" w:eastAsia="Times New Roman" w:hAnsi="Times New Roman"/>
          <w:sz w:val="17"/>
          <w:szCs w:val="17"/>
          <w:color w:val="auto"/>
        </w:rPr>
        <w:t>— Cyprus Regulations — Anti-Money Laundering Law and Regulations” and “Item 4. Information on the Company — B. Business Overview — Regulations — Sri Lanka Regulations — Anti-Money Laundering Law and Regulations.”</w:t>
      </w:r>
    </w:p>
    <w:p>
      <w:pPr>
        <w:spacing w:after="0" w:line="247"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Information technology and other systems that we depend on are subject to cybersecurity risks, including disruptions to systems and operations, misappropriation of customer information, other breaches of information security or other cybercrimes, as well as regulatory and other risks.</w:t>
      </w:r>
    </w:p>
    <w:p>
      <w:pPr>
        <w:spacing w:after="0" w:line="38"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rely on information technology and other systems (including those maintained by third-party service providers, suppliers and customers)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employees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w:t>
      </w:r>
    </w:p>
    <w:p>
      <w:pPr>
        <w:spacing w:after="0" w:line="180" w:lineRule="exact"/>
        <w:rPr>
          <w:sz w:val="20"/>
          <w:szCs w:val="20"/>
          <w:color w:val="auto"/>
        </w:rPr>
      </w:pPr>
    </w:p>
    <w:p>
      <w:pPr>
        <w:ind w:left="300" w:right="160" w:firstLine="960"/>
        <w:spacing w:after="0" w:line="263" w:lineRule="auto"/>
        <w:rPr>
          <w:sz w:val="20"/>
          <w:szCs w:val="20"/>
          <w:color w:val="auto"/>
        </w:rPr>
      </w:pPr>
      <w:r>
        <w:rPr>
          <w:rFonts w:ascii="Times New Roman" w:cs="Times New Roman" w:eastAsia="Times New Roman" w:hAnsi="Times New Roman"/>
          <w:sz w:val="17"/>
          <w:szCs w:val="17"/>
          <w:color w:val="auto"/>
        </w:rPr>
        <w:t>The steps we take to deter and mitigate these risks may not be successful or effective and our insurance coverage for protecting against cybersecurity risks may not be sufficient. The third parties that we engage or conduct business with face risks relating to cybersecurity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w:t>
      </w:r>
    </w:p>
    <w:p>
      <w:pPr>
        <w:spacing w:after="0" w:line="387"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addition to risks related to the theft, loss, or unauthorized disclosure of data, we are also exposed to risks related to the availability and functionality of our information technology systems such as resulting from cybercrimes or information technology outages. If our information technology systems become damaged or otherwise cease to function properly, our services and results of operations may be adversely affected and we may have to make significant investments to repair or replace them. Furthermore, any extended downtime from power supply disruptions or information technology system outages which may be caused by cybersecurity attacks or other reasons at our properties may lead to an adverse impact on our operating results if we are unable to deliver services to customers for an extended period of time.</w:t>
      </w:r>
    </w:p>
    <w:p>
      <w:pPr>
        <w:spacing w:after="0" w:line="173"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Cybersecurity risks continue to intensify globally, with cybercriminals employing increasingly sophisticated methods of cyber-attack. There have been well-publicized attacks on large corporations, including several in our industry. Cyber-attacks are difficult to anticipate and prevent, and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w:t>
      </w:r>
    </w:p>
    <w:p>
      <w:pPr>
        <w:spacing w:after="0" w:line="3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920"/>
          </w:cols>
          <w:pgMar w:left="320" w:top="472"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employees, expose us to risks of litigation, significant fines and penalties and liability, result in the deterioration of our customers’, suppliers’ and employees’ confidence in us, and adversely affect our business, results of operations and financial condition. Any perceived or actual unauthorized disclosure of personally identifiable information of our employees, customers, suppliers or website visitors could harm our reputation and credibility and reduce our ability to attract and retain employees, suppliers and customers. We are also subject to enactment of new laws, or amendments to existing laws with more stringent requirements, in relation to cybersecurity from time to time. See “Item 4. Information on the Company — B. Business Overview — Regulations — Macau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180" w:lineRule="exact"/>
        <w:rPr>
          <w:sz w:val="20"/>
          <w:szCs w:val="20"/>
          <w:color w:val="auto"/>
        </w:rPr>
      </w:pPr>
    </w:p>
    <w:p>
      <w:pPr>
        <w:ind w:left="300" w:right="580" w:firstLine="960"/>
        <w:spacing w:after="0" w:line="276" w:lineRule="auto"/>
        <w:rPr>
          <w:sz w:val="20"/>
          <w:szCs w:val="20"/>
          <w:color w:val="auto"/>
        </w:rPr>
      </w:pPr>
      <w:r>
        <w:rPr>
          <w:rFonts w:ascii="Times New Roman" w:cs="Times New Roman" w:eastAsia="Times New Roman" w:hAnsi="Times New Roman"/>
          <w:sz w:val="17"/>
          <w:szCs w:val="17"/>
          <w:color w:val="auto"/>
        </w:rPr>
        <w:t>Finally, while we have developed and implemented a cybersecurity risk management program, there can be no assurance that our cybersecurity risk management program and processes, including our policies, controls or procedures, will be fully complied with or effective in protecting our systems and information. See also “Item 16K – Cybersecurity.”</w:t>
      </w:r>
    </w:p>
    <w:p>
      <w:pPr>
        <w:spacing w:after="0" w:line="263" w:lineRule="exact"/>
        <w:rPr>
          <w:sz w:val="20"/>
          <w:szCs w:val="20"/>
          <w:color w:val="auto"/>
        </w:rPr>
      </w:pPr>
    </w:p>
    <w:p>
      <w:pPr>
        <w:ind w:left="300" w:right="1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62"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Our businesses collect, use and transmit large volumes of data, including personal data and sensitive data in various information systems relating to our guests, patrons, suppliers and employees. Such personal data is collected, used and transmitted in a number of ways to operate our business. It may also be transmitted to or from multiple jurisdictions. This includes between our properties and offices, or to other jurisdictions, including where our third-party vendors are based.</w:t>
      </w:r>
    </w:p>
    <w:p>
      <w:pPr>
        <w:spacing w:after="0" w:line="169" w:lineRule="exact"/>
        <w:rPr>
          <w:sz w:val="20"/>
          <w:szCs w:val="20"/>
          <w:color w:val="auto"/>
        </w:rPr>
      </w:pPr>
    </w:p>
    <w:p>
      <w:pPr>
        <w:ind w:left="300" w:right="360" w:firstLine="960"/>
        <w:spacing w:after="0" w:line="295" w:lineRule="auto"/>
        <w:rPr>
          <w:sz w:val="20"/>
          <w:szCs w:val="20"/>
          <w:color w:val="auto"/>
        </w:rPr>
      </w:pPr>
      <w:r>
        <w:rPr>
          <w:rFonts w:ascii="Times New Roman" w:cs="Times New Roman" w:eastAsia="Times New Roman" w:hAnsi="Times New Roman"/>
          <w:sz w:val="17"/>
          <w:szCs w:val="17"/>
          <w:color w:val="auto"/>
        </w:rPr>
        <w:t>Our operations are subject to several privacy law regimes globally. In addition to privacy laws and regulations, we are subject to other cybersecurity regulations related to data.</w:t>
      </w:r>
    </w:p>
    <w:p>
      <w:pPr>
        <w:spacing w:after="0" w:line="147"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Privacy, cybersecurity or related laws regulate a range of activities including the security of data, third-party transactions and transfers of information. They may also restrict certain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 For additional information on specific privacy regimes and associated risks, see “Item 4. Information on the Company — B. Business Overview — Regulations.” In addition, the cybersecurity, data privacy, data protection, or other data-related laws our operations are subject to continue to evolve, and the interpretation of such laws may be strict in some cases while uncertain in others. For example, the General Data Protection Regulation (EU) 2016/679 (“GDPR”), which applies to our Cyprus operations, grants individuals extensive rights and places significant compliance obligations on organizations.</w:t>
      </w:r>
    </w:p>
    <w:p>
      <w:pPr>
        <w:spacing w:after="0" w:line="175" w:lineRule="exact"/>
        <w:rPr>
          <w:sz w:val="20"/>
          <w:szCs w:val="20"/>
          <w:color w:val="auto"/>
        </w:rPr>
      </w:pPr>
    </w:p>
    <w:p>
      <w:pPr>
        <w:ind w:left="300" w:right="400" w:firstLine="960"/>
        <w:spacing w:after="0" w:line="295" w:lineRule="auto"/>
        <w:rPr>
          <w:sz w:val="20"/>
          <w:szCs w:val="20"/>
          <w:color w:val="auto"/>
        </w:rPr>
      </w:pPr>
      <w:r>
        <w:rPr>
          <w:rFonts w:ascii="Times New Roman" w:cs="Times New Roman" w:eastAsia="Times New Roman" w:hAnsi="Times New Roman"/>
          <w:sz w:val="17"/>
          <w:szCs w:val="17"/>
          <w:color w:val="auto"/>
        </w:rPr>
        <w:t>On December 22, 2025, the mainland China National Information Security Standardization Technical Committee issued the Network Security Standard Practice Guide –Guangdong-Hong Kong-Macau Greater Bay</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940"/>
          </w:cols>
          <w:pgMar w:left="320" w:top="472"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right="100"/>
        <w:spacing w:after="0" w:line="269" w:lineRule="auto"/>
        <w:rPr>
          <w:sz w:val="20"/>
          <w:szCs w:val="20"/>
          <w:color w:val="auto"/>
        </w:rPr>
      </w:pPr>
      <w:r>
        <w:rPr>
          <w:rFonts w:ascii="Times New Roman" w:cs="Times New Roman" w:eastAsia="Times New Roman" w:hAnsi="Times New Roman"/>
          <w:sz w:val="17"/>
          <w:szCs w:val="17"/>
          <w:color w:val="auto"/>
        </w:rPr>
        <w:t>Area Cross-Border Personal Information Protection Requirements (Draft for Comment), setting out the basic principles and protection requirements in the personal information cross-border flow in the Guangdong-Hong Kong-Macao Greater Bay Area, which requires personal information processors to comply with the local laws and regulations in the jurisdictions concerned. It is likely that this Standard Practice Guide, if effective, will be applicable to companies operating in Hong Kong and Macau, like us.</w:t>
      </w:r>
    </w:p>
    <w:p>
      <w:pPr>
        <w:spacing w:after="0" w:line="169"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In some jurisdictions, including mainland China where we have a wholly-owned subsidiary that hosts domain names of our mainland China websites and other online platforms which promote our non-gaming amenities in mainland China, the cybersecurity, data privacy, data protection, or other data-related laws and regulations are relatively new and evolving. In December 2023, the Cybersecurity Administration of China, or CAC, introduced the Management Measures for Reporting Cybersecurity Incidents (Draft for Comment), which require mandatory reporting within one hour for significant, major, or exceptionally major incidents. On January 4, 2022, the CAC issued the New Measures for Cybersecurity Review, or the New Measures,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PRC government authorities may have wide discretion in the interpretation and enforcement of the applicable laws.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Hong Kong and Macau like us, we face uncertainties as to whether such clearance can be timely obtained, or at all. We have not received any formal notice from any PRC cybersecurity regulator that we should apply for or otherwise be subject to a cybersecurity review, but we cannot be certain that such notifications will not occur in the future.</w:t>
      </w:r>
    </w:p>
    <w:p>
      <w:pPr>
        <w:spacing w:after="0" w:line="387"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On September 30, 2024, the Administration Regulations on Cyber Data Security (the “Data Security Regulations”) were published by the State Council, which came into effect on January 1, 2025. The Data Security Regulations reiterate and refine the general regulations for cyber data processing activities and rules of personal information protection, important data security protection, cyber data cross-border transfer security management, and the responsibilities of online platform service providers. In particular, the Data Security Regulations provide that cyber data processors whose cyber data processing activities affect or may affect national security shall be subject to national security review in accordance with the relevant regulations. However, the Data Security Regulations provide no further explanation or interpretation for the criteria on determining the risks that “affect or may affect national security.” Also, since the Data Security Regulations are still relatively new, the interpretation and implementation of these regulations may further evolve and develop, we cannot predict the impact of the Data Security Regulations on us.</w:t>
      </w:r>
    </w:p>
    <w:p>
      <w:pPr>
        <w:spacing w:after="0" w:line="175" w:lineRule="exact"/>
        <w:rPr>
          <w:sz w:val="20"/>
          <w:szCs w:val="20"/>
          <w:color w:val="auto"/>
        </w:rPr>
      </w:pPr>
    </w:p>
    <w:p>
      <w:pPr>
        <w:ind w:left="300" w:right="160" w:firstLine="960"/>
        <w:spacing w:after="0" w:line="263" w:lineRule="auto"/>
        <w:rPr>
          <w:sz w:val="20"/>
          <w:szCs w:val="20"/>
          <w:color w:val="auto"/>
        </w:rPr>
      </w:pPr>
      <w:r>
        <w:rPr>
          <w:rFonts w:ascii="Times New Roman" w:cs="Times New Roman" w:eastAsia="Times New Roman" w:hAnsi="Times New Roman"/>
          <w:sz w:val="17"/>
          <w:szCs w:val="17"/>
          <w:color w:val="auto"/>
        </w:rPr>
        <w:t>In addition, the China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systems for data security. Furthermore, the recently issued Opinions on Strictly Cracking Down Illegal Securities Activities requires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The China Personal Information Protection Law (“PIPL”), which was promulgated by the Standing Committee of the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960"/>
          </w:cols>
          <w:pgMar w:left="320" w:top="472" w:right="6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National People’s Congress on August 20, 2021 and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mainland China or for the analysis and assessment of acts of natural persons within mainland China. Given that there remain uncertainties regarding the further interpretation and implementation of those laws and regulations,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Furthermore, we must also comply with other industry standards such as those for the credit card industry and other applicable data security standards.</w:t>
      </w:r>
    </w:p>
    <w:p>
      <w:pPr>
        <w:spacing w:after="0" w:line="175"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Compliance with applicable privacy and cybersecurity laws and regulations may increase our operating costs and/or adversely impact our ability to market our products, properties and services to our existing customers and guests or potential customer and guests. In addition, non-compliance with applicable privacy and cybersecurity laws and regulations by us (or in some circumstances non-compliance by third parties engaged by us) may result in damage to our reputation and/or subject us to fines, penalties, payment of damages, lawsuits, criminal liability or restrictions on our use or transfer of data. In some cases, penalties in one jurisdiction will be calculated having regard to the whole group’s turnover. There are local nuances in terms of how our guests, patrons, suppliers and employees expect us to handle their personal data. However, as awareness of privacy harms increase globally, expectations on us continue to rise. If we fail to recognize and meet these expectations, we could suffer damage to our reputation or loss of market share in some jurisdictions.</w:t>
      </w:r>
    </w:p>
    <w:p>
      <w:pPr>
        <w:spacing w:after="0" w:line="275" w:lineRule="exact"/>
        <w:rPr>
          <w:sz w:val="20"/>
          <w:szCs w:val="20"/>
          <w:color w:val="auto"/>
        </w:rPr>
      </w:pPr>
    </w:p>
    <w:p>
      <w:pPr>
        <w:ind w:left="300" w:right="5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failure to keep pace with and successfully incorporate technological developments into our operations may impair our ability to compete effectively.</w:t>
      </w:r>
    </w:p>
    <w:p>
      <w:pPr>
        <w:spacing w:after="0" w:line="38"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We use sophisticated information technology and systems in our gaming operations, non-gaming operations and corporate functions. Technological developments in tools and solutions which can be incorporated into our operations and processes are rapidly evolving, such as the recent incorporation by us and other gaming operators of gaming tables utilizing radio frequency identification which permit enhanced monitoring of wagers and other gaming table activities. In addition, technologies and solutions utilizing artificial intelligence (“AI”) are becoming increasingly available, and we may adopt the use of AI-driven solutions in our businesses in the future.</w:t>
      </w:r>
    </w:p>
    <w:p>
      <w:pPr>
        <w:spacing w:after="0" w:line="171" w:lineRule="exact"/>
        <w:rPr>
          <w:sz w:val="20"/>
          <w:szCs w:val="20"/>
          <w:color w:val="auto"/>
        </w:rPr>
      </w:pPr>
    </w:p>
    <w:p>
      <w:pPr>
        <w:ind w:left="300" w:right="40" w:firstLine="960"/>
        <w:spacing w:after="0" w:line="265" w:lineRule="auto"/>
        <w:rPr>
          <w:sz w:val="20"/>
          <w:szCs w:val="20"/>
          <w:color w:val="auto"/>
        </w:rPr>
      </w:pPr>
      <w:r>
        <w:rPr>
          <w:rFonts w:ascii="Times New Roman" w:cs="Times New Roman" w:eastAsia="Times New Roman" w:hAnsi="Times New Roman"/>
          <w:sz w:val="17"/>
          <w:szCs w:val="17"/>
          <w:color w:val="auto"/>
        </w:rPr>
        <w:t>Developing, acquiring, implementing and maintaining such tools and solutions may require significant capital and result in higher costs than anticipated. For example, due to the rapid evolution of AI technologies, we may need to devote significant resources to ensure that our implementation of AI solutions complies with applicable laws, regulations and internal governance and other policies. The use of AI solutions and other new technologies can also pose security risks to the confidential information and personal data maintained by us. If we fail to keep pace with, or successfully incorporate, technological developments in such tools and solutions into our operations and processes, our ability to compete may be impaired.</w:t>
      </w:r>
    </w:p>
    <w:p>
      <w:pPr>
        <w:spacing w:after="0" w:line="200" w:lineRule="exact"/>
        <w:rPr>
          <w:sz w:val="20"/>
          <w:szCs w:val="20"/>
          <w:color w:val="auto"/>
        </w:rPr>
      </w:pPr>
    </w:p>
    <w:p>
      <w:pPr>
        <w:spacing w:after="0" w:line="285" w:lineRule="exact"/>
        <w:rPr>
          <w:sz w:val="20"/>
          <w:szCs w:val="20"/>
          <w:color w:val="auto"/>
        </w:rPr>
      </w:pPr>
    </w:p>
    <w:p>
      <w:pPr>
        <w:ind w:left="300"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38"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Unfavorable publicity regarding us, or our directors, officers or affiliates, whether substantiated or not, including, but not limited to, as a result of any unfavorable publicity regarding and/or legal or other proceedings against parties we work with from time to time, including auditors, consultants and financial, legal or other advisors,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940"/>
          </w:cols>
          <w:pgMar w:left="320" w:top="472"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7"/>
          <w:szCs w:val="17"/>
          <w:color w:val="auto"/>
        </w:rPr>
        <w:t>strategies. The prevalence of social media compounds the potential scope of the negative publicity that could be generated. Any negative press or publicity could also lead to government or other regulatory investigations, including causing regulators with jurisdiction over our gaming operations to take action against us or our related licensees, including actions that could affect the ability or terms upon which our subsidiaries hold their gaming licenses and/or concession, our suitability to continue as a shareholder of those subsidiaries and/or the suitability of key personnel to remain with us. If any of these events were to occur, it could cause a material adverse effect on our business and prospects,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new branded products or new business lines may not be successful.</w:t>
      </w:r>
    </w:p>
    <w:p>
      <w:pPr>
        <w:spacing w:after="0" w:line="122"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We launched the Nüwa brand in Macau, the Philippines and Sri Lanka and the C2 brand in Cyprus, and intend to rebrand The Countdown. In 2023, we launched City of Dreams Mediterranean in Cyprus and Epic Tower at Studio City. In 2025, City of Dreams Sri Lanka opened. We may continue introducing new brand names and brand identities in the future, which may be time-consuming and expensive, or may not have the intended effect, any of which could have a material adverse effect on our business, results of operations and financial condition. We may also launch new products or enter into new business or service lines that are subject to different business or regulatory risks than our existing gaming business. These new initiatives may subject us to additional costs for complying with a new set of laws, rules, regulations and policies and/or requirements imposed by new governmental and regulatory bodies. Given our relative lack of experience in these new business ventures, there is also no assurance that they will be successful. Accordingly, the revenue streams from our new properties and casinos opening in the near future may not be stable or significant.</w:t>
      </w:r>
    </w:p>
    <w:p>
      <w:pPr>
        <w:spacing w:after="0" w:line="275" w:lineRule="exact"/>
        <w:rPr>
          <w:sz w:val="20"/>
          <w:szCs w:val="20"/>
          <w:color w:val="auto"/>
        </w:rPr>
      </w:pPr>
    </w:p>
    <w:p>
      <w:pPr>
        <w:ind w:left="300" w:right="3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w:t>
      </w:r>
    </w:p>
    <w:p>
      <w:pPr>
        <w:spacing w:after="0" w:line="57"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The United Nations and a number of countries and jurisdictions, including China, the United States and the European Union, have adopted various economic or trade sanction regimes. In particular, economic and trade sanctions have been threatened and/or imposed by the U.S. government on a number of China-based technology companies, including ZTE Corporation, Huawei Technologies Co., Ltd., or Huawei, Tencent Holdings Limited, certain of their respective affiliates, and other China-based technology companies. These China technology conglomerates manufacture and/or develop telecommunications and other equipment, software, mobile Apps and devices that are popular and widely used globally, including by us and by our customers, especially those in China. The United States has also in certain circumstances imposed and threatened to impose further sanctions, trade embargoes, and other heightened regulatory requirements on China and China-based companies. The U.S. government has brought enforcement actions against ZTE Corporation and Huawei and related persons, as well as companies who engaged in unauthorized transactions with Huawei.</w:t>
      </w:r>
    </w:p>
    <w:p>
      <w:pPr>
        <w:spacing w:after="0" w:line="175"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For example, in 2025, the U.S. government imposed global tariffs on a wide range of products and goods, and multiple countries have responded with retaliatory tariffs and other trade restrictions. Evolving global trade policies could contribute to increased costs, supply chain disruptions and broader economic uncertainty that may indirectly affect our operations or the operations of our suppliers and business partners.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940"/>
          </w:cols>
          <w:pgMar w:left="320" w:top="472"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40"/>
        <w:spacing w:after="0" w:line="295" w:lineRule="auto"/>
        <w:rPr>
          <w:sz w:val="20"/>
          <w:szCs w:val="20"/>
          <w:color w:val="auto"/>
        </w:rPr>
      </w:pPr>
      <w:r>
        <w:rPr>
          <w:rFonts w:ascii="Times New Roman" w:cs="Times New Roman" w:eastAsia="Times New Roman" w:hAnsi="Times New Roman"/>
          <w:sz w:val="17"/>
          <w:szCs w:val="17"/>
          <w:color w:val="auto"/>
        </w:rPr>
        <w:t>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147"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In addition, the continuing military conflict between Russia and Ukraine has led to sanctions and export controls being imposed by the United States, the European Union, the United Kingdom and other countries targeting Russia, its financial systems and major financial institutions and certain Russian entities and persons. As these new and growing lists of sanctions and measures are extensive and changing, they could be difficult to comply with and could also significantly increase our business and compliance costs. Such sanctions and measures have had and may continue to have a negative impact on our business and our ability to accept certain customers, including for our business in Cyprus where historically a significant number of tourists have come from Russia.</w:t>
      </w:r>
    </w:p>
    <w:p>
      <w:pPr>
        <w:spacing w:after="0" w:line="274"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Climate change, environmental, social and governance and sustainability related concerns could have a negative impact on our business and results of operations.</w:t>
      </w:r>
    </w:p>
    <w:p>
      <w:pPr>
        <w:spacing w:after="0" w:line="38" w:lineRule="exact"/>
        <w:rPr>
          <w:sz w:val="20"/>
          <w:szCs w:val="20"/>
          <w:color w:val="auto"/>
        </w:rPr>
      </w:pPr>
    </w:p>
    <w:p>
      <w:pPr>
        <w:jc w:val="both"/>
        <w:ind w:left="300" w:right="360" w:firstLine="960"/>
        <w:spacing w:after="0" w:line="276" w:lineRule="auto"/>
        <w:rPr>
          <w:sz w:val="20"/>
          <w:szCs w:val="20"/>
          <w:color w:val="auto"/>
        </w:rPr>
      </w:pPr>
      <w:r>
        <w:rPr>
          <w:rFonts w:ascii="Times New Roman" w:cs="Times New Roman" w:eastAsia="Times New Roman" w:hAnsi="Times New Roman"/>
          <w:sz w:val="17"/>
          <w:szCs w:val="17"/>
          <w:color w:val="auto"/>
        </w:rPr>
        <w:t>Various jurisdictions are adopting or considering new laws and regulations that expand mandatory disclosure, reporting and diligence requirements with respect to environmental, social and governance (“ESG”) matters, and expectations of investors, customers, employees and other stakeholders in this area continue to evolve.</w:t>
      </w:r>
    </w:p>
    <w:p>
      <w:pPr>
        <w:spacing w:after="0" w:line="162"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our ability to obtain sufficient coverage. See “Item 3. Key Information — D. Risk Factors — Risks Relating to Our Business and Operations — Our business is subject to regional and global political, social and economic risks, as well as natural disasters, that may significantly affect visitations to our properties and have a material adverse effect on our results of operations” for a discussion of risks relating to natural disasters that could be exacerbated by climate change.</w:t>
      </w:r>
    </w:p>
    <w:p>
      <w:pPr>
        <w:spacing w:after="0" w:line="173"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considerable amount of waste in our operations and any failure in our efforts to use materials efficiently or reduce waste may not meet the expectations of our stakeholders. Compliance with future climate-related legislation and regulation, and our efforts to achieve emissions reduction targets, could also be difficult and costly. Consumer travel and consumption preferences may also shift due to sustainability related concerns or costs. Moreover, stakeholders (including those in support of or in opposition to ESG principles) may have a negative view of us to the extent we are perceived to have not responded appropriately to their ESG concerns or take positions that are contrary to their views or expectations. As a result of the foregoing, we may experience significant increase in operating and compliance costs, operating disruptions or limitations, reduced demand, and constraints on our growth, all of which could adversely affect our profits.</w:t>
      </w: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940"/>
          </w:cols>
          <w:pgMar w:left="320" w:top="472"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Claims or regulatory actions against us under China’s competition laws may result in fines, constraints on our business and damage to our reputation.</w:t>
      </w:r>
    </w:p>
    <w:p>
      <w:pPr>
        <w:spacing w:after="0" w:line="38"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In recent years, the PRC government has stepped up enforcement against concentration of undertakings, cartel activities, monopoly agreements, unfair pricing, abusive behaviors by companies with market dominance and other anti-competitive activities. In December 2020, the PRC government announced that strengthening anti-monopoly measures and preventing the disorderly expansion of capital has become one of its focuses, and that it intended to improve digital regulations and legal standards for the identification of platform enterprise monopolies for the gathering, usage and management of data, and for the protection of consumer rights.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example, the PRC government has enhanced its anti-monopoly and anti-unfair competition laws and regulations, such as the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enactment of the Online Trading Measures, which took effect on May 1, 2021, and the amended Anti-monopoly Law, which came into effect 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August 1, 2022 and significantly increased the consequences of liability for violations, including for failing to notify the State Administration for Market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Regulation prior to implementing transactions if certain thresholds are met.</w:t>
      </w:r>
    </w:p>
    <w:p>
      <w:pPr>
        <w:spacing w:after="0" w:line="205"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As of the date of this annual report, China’s statements and regulatory actions related to anti-monopoly concerns have not impacted our business, our ability to accept foreign investments or our ability to issue our securities to foreign investors. However, in the future, we may become subject to these or similar laws and regulations and compliance with such laws and regulations, as well as administrative guidance and requirements by regulators from time to time, may require significant resources and efforts, including changing our operations and pricing practices, restructuring our operations and adjusting our investment activities, which may materially and adversely affect our operations, growth prospects, reputation and the trading prices of our ordinary shares and/or ADSs.</w:t>
      </w:r>
    </w:p>
    <w:p>
      <w:pPr>
        <w:spacing w:after="0" w:line="274" w:lineRule="exact"/>
        <w:rPr>
          <w:sz w:val="20"/>
          <w:szCs w:val="20"/>
          <w:color w:val="auto"/>
        </w:rPr>
      </w:pPr>
    </w:p>
    <w:p>
      <w:pPr>
        <w:ind w:left="300"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All of our current and future construction projects are and will be subject to significant development and construction risks, which could have a material adverse impact on related project timetables, costs and our ability to complete the projects.</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All of our current and future construction projects are and will be subject to a number of risks, including:</w:t>
      </w:r>
    </w:p>
    <w:p>
      <w:pPr>
        <w:spacing w:after="0" w:line="131" w:lineRule="exact"/>
        <w:rPr>
          <w:sz w:val="20"/>
          <w:szCs w:val="20"/>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plans and specifications;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problems, including defective plans and specifications;</w:t>
      </w:r>
    </w:p>
    <w:p>
      <w:pPr>
        <w:spacing w:after="0" w:line="131" w:lineRule="exact"/>
        <w:rPr>
          <w:rFonts w:ascii="Times New Roman" w:cs="Times New Roman" w:eastAsia="Times New Roman" w:hAnsi="Times New Roman"/>
          <w:sz w:val="17"/>
          <w:szCs w:val="17"/>
          <w:color w:val="auto"/>
        </w:rPr>
      </w:pPr>
    </w:p>
    <w:p>
      <w:pPr>
        <w:ind w:left="1240" w:right="64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key supply markets, including shortages of, and price increases in, energy, materials and skilled and unskilled labor, geopolitical issues and inflation;</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obtaining or inability to obtain necessary permits, licenses and approvals;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sufficient, or delays in availability of, financing;</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or in the interpretation and enforcement of laws and regulations, applicable to gaming, leisure, residential, real estate development or construction projects;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 or work stoppages;</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 of qualified contractors and suppliers or inability to enter into definitive contracts with contractors with sufficient skills, financial resources and experience on commercially reasonable terms, or at all;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and defaults by, contractors and subcontractors and other counterparties;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injuries to workers and other persons;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940"/>
          </w:cols>
          <w:pgMar w:left="320" w:top="472"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health and safety issues, including site accidents and the spread or outbreak of infectious diseases;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interferences or delays;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fires, typhoons and other natural disasters;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geological, construction, excavation, regulatory and equipment problems;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unanticipated circumstances or cost increases.</w:t>
      </w:r>
    </w:p>
    <w:p>
      <w:pPr>
        <w:spacing w:after="0" w:line="223"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The occurrence of any of these events could increase the total costs, delay or prevent the construction or opening or otherwise affect the design and features of any existing or future construction projects which we might undertake. For example, in Cyprus, the City of Dreams Mediterranean project experienced delays due to some difficulties that we encountered with our contractors in relation to them not meeting labor resourcing plans and maintaining progress. We cannot guarantee that our construction costs or total project costs for existing or future projects will not increase beyond amounts initially budgeted.</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could encounter substantial cost increases or delays in our projects, which could prevent or delay the opening of such projects.</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have certain projects under development and may have development projects in the future. The completion of these projects is subject to a number of contingencies, including adverse developments in applicable legislation, delays or failures in obtaining necessary government licenses, permits or approvals, disruptions to key supply markets, including shortages of, and price increases in energy, materials and skilled and unskilled labor, and inflation. The occurrence of any of these developments could increase the total costs or delay or prevent the construction or opening of new projects, which could materially and adversely affect our business, financial condition and results of operations. We may also require additional financing to develop our projects. Our ability to obtain such financing depends on a number of factors beyond our control, including market conditions, investors’ and lenders’ perceptions of, and demand for, debt and equity securities of gaming companies and interest rates.</w:t>
      </w:r>
    </w:p>
    <w:p>
      <w:pPr>
        <w:spacing w:after="0" w:line="17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There is no assurance that the actual costs related to our projects will not exceed the costs we have projected and budgeted, which could materially and adversely affect our business, cash flow, financial condition, results of operations and prospects.</w:t>
      </w:r>
    </w:p>
    <w:p>
      <w:pPr>
        <w:spacing w:after="0" w:line="247" w:lineRule="exact"/>
        <w:rPr>
          <w:sz w:val="20"/>
          <w:szCs w:val="20"/>
          <w:color w:val="auto"/>
        </w:rPr>
      </w:pPr>
    </w:p>
    <w:p>
      <w:pPr>
        <w:ind w:left="300"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Construction is subject to hazards that may cause personal injury or loss of life, thereby subjecting us to liabilities and possible losses, which may not be covered by insurance.</w:t>
      </w:r>
    </w:p>
    <w:p>
      <w:pPr>
        <w:spacing w:after="0" w:line="38"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The construction and renovation of large-scale properties, including the types of projects we are or may be involved in, can be dangerous. Workers at such sites are subject to hazards that may cause personal injury or loss of life, thereby subjecting the contractors and us to liabilities, possible losses, delays in completion of the projects and negative publicity. We believe, and require, our contractors take safety precautions that are consistent with industry practice, but these safety precautions may not be adequate to prevent serious personal injuries or loss of life, damage to property or delays. If accidents occur during the construction of any of our projects or during renovations at our properties, we may be subject to delays, including delays imposed by regulators, liabilities and possible losses, which may not be covered by insurance, and our business, prospects and reputation may be materially and adversely affected.</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Macau</w:t>
      </w:r>
    </w:p>
    <w:p>
      <w:pPr>
        <w:spacing w:after="0" w:line="116"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in Macau are dependent upon our concession and, if we fail to comply with the complex legal and regulatory regime in Macau, our concession may be subject to revocation.</w:t>
      </w:r>
    </w:p>
    <w:p>
      <w:pPr>
        <w:spacing w:after="0" w:line="38"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Under the terms of the Concession Contract, we are obligated to comply with all laws, regulations, rulings and orders promulgated by the Macau government from time to time. In addition, we must comply with</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960"/>
          </w:cols>
          <w:pgMar w:left="320" w:top="472" w:right="6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7"/>
          <w:szCs w:val="17"/>
          <w:color w:val="auto"/>
        </w:rPr>
        <w:t>all terms of the Concession Contract which contains various general covenants and provisions, such as general and special duties of cooperation, special duties of information and obligations in relation to the execution of our investment plan, as to which the determination of compliance is subjective and depend, in part, on our ability to maintain continuing communications and good faith negotiations with the Macau government to ensure that we are performing our obligations and covenants under the concession and applicable laws and regulations in a manner that would avoid any violations. We cannot assure you that we will fulfil such obligations and covenants in a way that satisfies the requirements of the Macau government.</w:t>
      </w:r>
    </w:p>
    <w:p>
      <w:pPr>
        <w:spacing w:after="0" w:line="171"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Melco Resorts Macau’s concession further provides that the Macau government is allowed to request various changes in our investment plan and impose business and corporate requirements that may be binding on us. Melco Resorts Macau must also first obtain the Macau government’s approval before raising certain financing and must notify the Macau government before taking significant financial decisions. As a result, we cannot assure you that we will be able to comply with these requirements or any other requirements of the Macau government or with the other requirements and obligations imposed by our concession, the gaming law or other related regulations.</w:t>
      </w:r>
    </w:p>
    <w:p>
      <w:pPr>
        <w:spacing w:after="0" w:line="171"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The harshest penalty that may be imposed on us for failure to comply with the complex legal and regulatory regime in Macau and the terms of the Concession Contract is revocation of the concession. Under the concession, the Macau government has the right to unilaterally terminate the concession in the event of non-compliance by Melco Resorts Macau with its basic obligations under the concession and applicable Macau laws. If such a termination were to occur, any casino premises and gaming equipment at that time will revert or be transferred to the Macau government without compensation to us and we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Under the terms of the Concession Contract, termination events include, among others, endangerment to the national security of mainland China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Melco Resorts Macau’s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 investment amount and other criteria set in the Concession Contract within the period set by the Macau government. These events could lead to the termination of Melco Resorts Macau’s concession without compensation to Melco Resorts Macau. In many of these instances, the Concession Contract does not provide for a specific cure period within which any such events may be cured and the granting of any cure period, if at all, would be at the discretion of the Macau government. See “Item 4. Information on the Company — B. Business Overview — Regulations — Gaming Licenses — The Concession Contract in Macau.”</w:t>
      </w:r>
    </w:p>
    <w:p>
      <w:pPr>
        <w:spacing w:after="0" w:line="17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Currently, there is no precedent on how the Macau government will treat the termination of a concession and the laws and regulations relating to termination of a concession have not yet been applied by the Macau government. Accordingly, the scope and enforcement of the provisions of Macau’s gaming regulatory system cannot be fully assessed.</w:t>
      </w:r>
    </w:p>
    <w:p>
      <w:pPr>
        <w:spacing w:after="0" w:line="263" w:lineRule="exact"/>
        <w:rPr>
          <w:sz w:val="20"/>
          <w:szCs w:val="20"/>
          <w:color w:val="auto"/>
        </w:rPr>
      </w:pPr>
    </w:p>
    <w:p>
      <w:pPr>
        <w:ind w:left="300"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Studio City faces significant risks and uncertainties which may materially and adversely affect our business, financial condition and results of operations.</w:t>
      </w:r>
    </w:p>
    <w:p>
      <w:pPr>
        <w:spacing w:after="0" w:line="38" w:lineRule="exact"/>
        <w:rPr>
          <w:sz w:val="20"/>
          <w:szCs w:val="20"/>
          <w:color w:val="auto"/>
        </w:rPr>
      </w:pPr>
    </w:p>
    <w:p>
      <w:pPr>
        <w:jc w:val="both"/>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Studio City commenced operations in October 2015 and operates in a challenging competitive environment. For example, some of our competitors in Macau have expanded operations or have announced intentions for further expansion and developments in Cotai, where Studio City is located. See “— We face intense competition in Macau, the Philippines and elsewhere in Asia and Europe and may not be able to compete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960"/>
          </w:cols>
          <w:pgMar w:left="320" w:top="472" w:right="6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360"/>
        <w:spacing w:after="0" w:line="276" w:lineRule="auto"/>
        <w:rPr>
          <w:sz w:val="20"/>
          <w:szCs w:val="20"/>
          <w:color w:val="auto"/>
        </w:rPr>
      </w:pPr>
      <w:r>
        <w:rPr>
          <w:rFonts w:ascii="Times New Roman" w:cs="Times New Roman" w:eastAsia="Times New Roman" w:hAnsi="Times New Roman"/>
          <w:sz w:val="17"/>
          <w:szCs w:val="17"/>
          <w:color w:val="auto"/>
        </w:rPr>
        <w:t>successfully.” Moreover, we face risks and uncertainties related to changes to the PRC and Macau governments’ policies and regulations relating to gaming markets, including those affecting gaming table allocation and caps, smoking restrictions, exchange controls and repatriation of capital, measures to control inflation and monetary transfers and travel restrictions.</w:t>
      </w:r>
    </w:p>
    <w:p>
      <w:pPr>
        <w:spacing w:after="0" w:line="16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In addition, Studio City may find it challenging to comply with the terms imposed under its financing arrangements, especially during periods of challenging market conditions (including changes in China’s economy). The SCC 2021 Credit Facilities, SCC 2024 Revolving Facilities and the indentures governing the Studio City Notes impose certain operating and financial restrictions, including limitations on the ability to pay dividends, incur additional debt, make investments, create liens on assets or issue preferred stock. If we are unable to comply with such restrictions, it could cause repayment of our debt to be accelerated. See “— 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 and “— The renewal of a land concession is subject to compliance with certain legal requirements. In the event of any failure to meet such legal requirements, we could be forced to forfeit all or part of our investment in City of Dreams, along with our interest in the land on which City of Dreams is located and the building and structures on such land.”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All of the foregoing trends, risks and uncertainties may have a material adverse impact on our business, financial condition and results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cease our operations at Mocha Clubs.</w:t>
      </w:r>
    </w:p>
    <w:p>
      <w:pPr>
        <w:spacing w:after="0" w:line="122" w:lineRule="exact"/>
        <w:rPr>
          <w:sz w:val="20"/>
          <w:szCs w:val="20"/>
          <w:color w:val="auto"/>
        </w:rPr>
      </w:pPr>
    </w:p>
    <w:p>
      <w:pPr>
        <w:jc w:val="both"/>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Mocha Clubs comprise non-casino based operations of electronic gaming machines in Macau and offer both electronic gaming machines and electronic table games, with a focus on general mass market patrons outside the conventional casino setting. We operate Mocha Clubs at leased or sub-leased premises or under right-to-use agreements.</w:t>
      </w:r>
    </w:p>
    <w:p>
      <w:pPr>
        <w:spacing w:after="0" w:line="162" w:lineRule="exact"/>
        <w:rPr>
          <w:sz w:val="20"/>
          <w:szCs w:val="20"/>
          <w:color w:val="auto"/>
        </w:rPr>
      </w:pPr>
    </w:p>
    <w:p>
      <w:pPr>
        <w:ind w:left="300" w:right="60" w:firstLine="960"/>
        <w:spacing w:after="0" w:line="259" w:lineRule="auto"/>
        <w:rPr>
          <w:sz w:val="20"/>
          <w:szCs w:val="20"/>
          <w:color w:val="auto"/>
        </w:rPr>
      </w:pPr>
      <w:r>
        <w:rPr>
          <w:rFonts w:ascii="Times New Roman" w:cs="Times New Roman" w:eastAsia="Times New Roman" w:hAnsi="Times New Roman"/>
          <w:sz w:val="17"/>
          <w:szCs w:val="17"/>
          <w:color w:val="auto"/>
        </w:rPr>
        <w:t>Under the Macau Gaming Operations Law, concessionaires, such as Melco Resorts Macau, may continue to operate games of chance in casinos in properties that are not owned by them for a period of three years from January 1, 2023 under authorization of the Chief Executive of Macau. Such three-year period ended on December 31, 2025, following which the concessionaires may only continue to operate games of chance in properties that are not owned by them by engaging a managing company, with any such engagement subject to approval of the Chief Executive of Macau. In accordance with our overall development strategy and the Macau Gaming Operations Law, Grand Dragon Casino and three Mocha Clubs, namely Mocha Hotel Royal, Mocha Kuong Fat and Mocha Grand Dragon Hotel, progressively ceased operations between September and December 2025. The Chief Executive of Macau has approved the engagement of a wholly-owned management company by Melco Resorts Macau and the respective management agreement in connection with the continuing operations of Mocha Inner Harbour, Mocha Hotel Sintra and Mocha Golden Dragon beyond December 31, 2025, and an amendment agreement to the Concession Contract was signed in February 2026 to reflect that these three Mocha Clubs will continue to be operated under the engagement of such management company effective from January 1, 2026, subject to compliance with all legal and regulatory requirements. There is no assurance that additional requirements or approvals will not arise in connection with the continued operation of these Mocha Clubs as the Macau government may impose such requirements or approvals at its discretion in line with policies that may change from time to time. Any cessation of operations at these Mocha Clubs may have an adverse effect on our business, financial condition and results of operations.</w:t>
      </w:r>
    </w:p>
    <w:p>
      <w:pPr>
        <w:spacing w:after="0" w:line="200" w:lineRule="exact"/>
        <w:rPr>
          <w:sz w:val="20"/>
          <w:szCs w:val="20"/>
          <w:color w:val="auto"/>
        </w:rPr>
      </w:pPr>
    </w:p>
    <w:p>
      <w:pPr>
        <w:spacing w:after="0" w:line="295"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gaming operations in Macau could be adversely affected by restrictions on the export of the Renminbi and any unfavorable fluctuations in the currency exchange rates of the Renminbi.</w:t>
      </w:r>
    </w:p>
    <w:p>
      <w:pPr>
        <w:spacing w:after="0" w:line="38" w:lineRule="exact"/>
        <w:rPr>
          <w:sz w:val="20"/>
          <w:szCs w:val="20"/>
          <w:color w:val="auto"/>
        </w:rPr>
      </w:pPr>
    </w:p>
    <w:p>
      <w:pPr>
        <w:ind w:left="300" w:right="480" w:firstLine="960"/>
        <w:spacing w:after="0" w:line="295" w:lineRule="auto"/>
        <w:rPr>
          <w:sz w:val="20"/>
          <w:szCs w:val="20"/>
          <w:color w:val="auto"/>
        </w:rPr>
      </w:pPr>
      <w:r>
        <w:rPr>
          <w:rFonts w:ascii="Times New Roman" w:cs="Times New Roman" w:eastAsia="Times New Roman" w:hAnsi="Times New Roman"/>
          <w:sz w:val="17"/>
          <w:szCs w:val="17"/>
          <w:color w:val="auto"/>
        </w:rPr>
        <w:t>Gaming operators in Macau are currently prohibited from accepting wagers in Renminbi, the currency of China. There are currently restrictions on the export of the Renminbi outside of mainland China, including to</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940"/>
          </w:cols>
          <w:pgMar w:left="320" w:top="472"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Macau. For example, a mainland China citizen traveling abroad is only allowed to take a total of RMB20,000 (equivalent to approximately US$2,858)</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plus non-RMB currency with an amount equivalent of up to US$5,000 out of mainland China. The annual limit of RMB100,000 (equivalent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approximately US$14,291) is the aggregate amount that can be withdrawn overseas by any person from mainland China bank accounts and it was set by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PRC government. In addition, the PRC government’s ongoing anti-corruption campaign has led to tighter monetary transfer regulations, including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real-time monitoring of certain financial channels, reducing the amount that mainland China-issued ATM cardholders can withdraw in each withdrawal,</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imposing a limit on the annual aggregate amount that may be withdrawn and the launch of facial recognition and identity card checks with respect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certain ATM users, which could disrupt the amount of money visitors can bring from mainland China to Macau. Furthermore, a law also exists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control cross-border transportation of cash and other negotiable instruments to the bearer. In accordance with such law, all individuals entering Macau</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with an amount in cash or negotiable instrument to the bearer equal to or higher than the amount of MOP120,000 (equivalent to approximately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US$14,973) as determined by the Chief Executive of Macau are required to declare such amount to the customs authorities. The adoption of digital</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currency by the PRC government may also cause more restrictions on the export of the Renminbi out of mainland China, which may impede the flow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customers from mainland China to Macau, inhibit the growth of gaming in Macau and negatively impact our operations.</w:t>
      </w:r>
    </w:p>
    <w:p>
      <w:pPr>
        <w:spacing w:after="0" w:line="205"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In addition, the value of RMB against the U.S. dollar and other currencies may fluctuate and may be affected by, among other things, changes in political and economic conditions and the foreign exchange policies adopted by the PRC government. In 2025, the value of RMB appreciated approximately 4.6% against the U.S. dollar, compared to 2024. It remains difficult to predict how market forces or PRC or U.S. government policy, including the ongoing trade disputes between China and the U.S. governments may further impact the value of the RMB against the U.S. dollar and other currencies in the future. Given that we derive a significant majority of our revenues from our Macau gaming business and a significant number of our gaming customers come from, and are expected to continue to come from, China, any further devaluation of the RMB against the U.S. dollar and other currencies may affect the visitation and level of spending of these gaming customers and could in turn have a material adverse effect on our revenues and financial condition.</w:t>
      </w:r>
    </w:p>
    <w:p>
      <w:pPr>
        <w:spacing w:after="0" w:line="275" w:lineRule="exact"/>
        <w:rPr>
          <w:sz w:val="20"/>
          <w:szCs w:val="20"/>
          <w:color w:val="auto"/>
        </w:rPr>
      </w:pPr>
    </w:p>
    <w:p>
      <w:pPr>
        <w:ind w:left="30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Adverse changes or developments in gaming laws or other regulations in Macau that affect our operations could be difficult to comply with or may significantly increase our costs, which could cause our projects to be unsuccessful.</w:t>
      </w:r>
    </w:p>
    <w:p>
      <w:pPr>
        <w:spacing w:after="0" w:line="38" w:lineRule="exact"/>
        <w:rPr>
          <w:sz w:val="20"/>
          <w:szCs w:val="20"/>
          <w:color w:val="auto"/>
        </w:rPr>
      </w:pPr>
    </w:p>
    <w:p>
      <w:pPr>
        <w:ind w:left="300" w:right="400" w:firstLine="960"/>
        <w:spacing w:after="0" w:line="269" w:lineRule="auto"/>
        <w:rPr>
          <w:sz w:val="20"/>
          <w:szCs w:val="20"/>
          <w:color w:val="auto"/>
        </w:rPr>
      </w:pPr>
      <w:r>
        <w:rPr>
          <w:rFonts w:ascii="Times New Roman" w:cs="Times New Roman" w:eastAsia="Times New Roman" w:hAnsi="Times New Roman"/>
          <w:sz w:val="17"/>
          <w:szCs w:val="17"/>
          <w:color w:val="auto"/>
        </w:rPr>
        <w:t>Our operations in Macau are also exposed to the risks of changes in laws and policies. Current laws in Macau, such as licensing requirements, tax rates, immigration and other regulatory obligations, including those for anti-money laundering, could change or become more stringent resulting in additional regulations being imposed upon gaming operations in Macau. See “— The gaming industries in the jurisdictions in which we operate are highly regulated.”</w:t>
      </w:r>
    </w:p>
    <w:p>
      <w:pPr>
        <w:spacing w:after="0" w:line="169"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On June 22, 2022, Law no. 7/2022, which amends Law no. 16/2001, or the Macau Gaming Operations Law, was published and on December 19, 2022, Law no. 16/2022, the new Gaming Activities Law, which replaces Administrative Regulation no. 6/2022, or the Gaming Promoter Regulation was published. These laws set additional requirements applicable to our operations. See “Item 4. Information on the Company — B. Business Overview — Regulations — Macau Regulations.” In addition, the Macau government imposed regulations and restrictions that affect the minimum age required for entrance into casinos in Macau, entry into casinos by off-duty gaming related employees, data privacy and other matters. Any such legislation, regulation or restriction which is being or may in the future be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Macau Regulations.”</w:t>
      </w:r>
    </w:p>
    <w:p>
      <w:pPr>
        <w:spacing w:after="0" w:line="178"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Also, smoking on the premises of casinos is only permitted in authorized segregated smoking lounges with no gaming activities, and such segregated smoking lounges are required to meet certain standards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940"/>
          </w:cols>
          <w:pgMar w:left="320" w:top="472"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20"/>
        <w:spacing w:after="0" w:line="269" w:lineRule="auto"/>
        <w:rPr>
          <w:sz w:val="20"/>
          <w:szCs w:val="20"/>
          <w:color w:val="auto"/>
        </w:rPr>
      </w:pPr>
      <w:r>
        <w:rPr>
          <w:rFonts w:ascii="Times New Roman" w:cs="Times New Roman" w:eastAsia="Times New Roman" w:hAnsi="Times New Roman"/>
          <w:sz w:val="17"/>
          <w:szCs w:val="17"/>
          <w:color w:val="auto"/>
        </w:rPr>
        <w:t>determined by the Macau government. Our properties currently have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Macau Regulations — Smoking Regulations.”</w:t>
      </w:r>
    </w:p>
    <w:p>
      <w:pPr>
        <w:spacing w:after="0" w:line="169"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Current Macau laws and regulations concerning gaming and gaming concessions and matters such as prevention of money laundering are fairly recent or there is little precedent on the interpretation of these laws and regulations. These laws and regulations are complex and a court or an administrative or regulatory body may in the future render an interpretation of these laws and regulations or issue new or modified regulations that differ from our interpretation, which could have a material adverse effect on the operation of our properties and on our financial condition, results of operations, cash flows and prospects.</w:t>
      </w:r>
    </w:p>
    <w:p>
      <w:pPr>
        <w:spacing w:after="0" w:line="171"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Our activities in Macau are subject to administrative review and approval by various departments of the Macau government. For example, our business activities are subject to the administrative review and approval by the DICJ, Macau Health Bureau, Macau Labor Bureau, Macau Construction Works Bureau, Macau Fire Department, Macau Finance Department and Macau Government Tourism Office. We cannot assure you that we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74" w:lineRule="exact"/>
        <w:rPr>
          <w:sz w:val="20"/>
          <w:szCs w:val="20"/>
          <w:color w:val="auto"/>
        </w:rPr>
      </w:pPr>
    </w:p>
    <w:p>
      <w:pPr>
        <w:ind w:left="300"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Macau government has established a maximum number of gaming tables and gaming machines that may be operated in Macau and has set a minimum average annual gross gaming revenue on gaming tables and gaming machines.</w:t>
      </w:r>
    </w:p>
    <w:p>
      <w:pPr>
        <w:spacing w:after="0" w:line="38"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US$873,404) for gaming tables and MOP300,000 (equivalent to approximately US$37,432) for gaming machines are not met for two consecutive years or the tables or gaming machines are not fully utilized without reason within a certain period. Current and future restrictions on gaming tables and gaming machines may have a material impact on our gaming revenues and overall business and operations.</w:t>
      </w:r>
    </w:p>
    <w:p>
      <w:pPr>
        <w:spacing w:after="0" w:line="274" w:lineRule="exact"/>
        <w:rPr>
          <w:sz w:val="20"/>
          <w:szCs w:val="20"/>
          <w:color w:val="auto"/>
        </w:rPr>
      </w:pPr>
    </w:p>
    <w:p>
      <w:pPr>
        <w:ind w:left="300" w:right="7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Melco Resorts Macau benefits from an exemption from complementary tax on income from gaming operations under the Concession until December 31, 2027 and we may not be able to extend it.</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Companies in Macau are subject to complementary tax of up to 12% of taxable income, as defined in relevant tax laws. We are</w:t>
      </w:r>
    </w:p>
    <w:p>
      <w:pPr>
        <w:spacing w:after="0" w:line="32" w:lineRule="exact"/>
        <w:rPr>
          <w:sz w:val="20"/>
          <w:szCs w:val="20"/>
          <w:color w:val="auto"/>
        </w:rPr>
      </w:pPr>
    </w:p>
    <w:p>
      <w:pPr>
        <w:jc w:val="both"/>
        <w:ind w:left="300" w:right="140"/>
        <w:spacing w:after="0" w:line="265" w:lineRule="auto"/>
        <w:rPr>
          <w:sz w:val="20"/>
          <w:szCs w:val="20"/>
          <w:color w:val="auto"/>
        </w:rPr>
      </w:pPr>
      <w:r>
        <w:rPr>
          <w:rFonts w:ascii="Times New Roman" w:cs="Times New Roman" w:eastAsia="Times New Roman" w:hAnsi="Times New Roman"/>
          <w:sz w:val="17"/>
          <w:szCs w:val="17"/>
          <w:color w:val="auto"/>
        </w:rPr>
        <w:t>also subject to a 35% special gaming tax on our gaming revenues as well as contributions of 2% and 3% of gross gaming revenue to a public fund, and to urban development, touristic promotion and social security, respectively. Such contributions may be waived or reduced with respect to gross gaming revenue generated by foreign patrons under certain circumstances.</w:t>
      </w:r>
    </w:p>
    <w:p>
      <w:pPr>
        <w:spacing w:after="0" w:line="171"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The Macau government granted to Melco Resorts Macau the benefit of a complementary tax exemption on gaming profits for the period from January 1, 2023 to December 31, 2027 pursuant to a Dispatch of the Chief Executive of Macau dated January 29, 2024. The non-gaming profits of Melco Resorts Macau remain subject to the Macau complementary tax. We cannot assure you that the complementary tax exemption benefits will be extended beyond their expiration dates.</w:t>
      </w:r>
    </w:p>
    <w:p>
      <w:pPr>
        <w:spacing w:after="0" w:line="169" w:lineRule="exact"/>
        <w:rPr>
          <w:sz w:val="20"/>
          <w:szCs w:val="20"/>
          <w:color w:val="auto"/>
        </w:rPr>
      </w:pPr>
    </w:p>
    <w:p>
      <w:pPr>
        <w:ind w:left="300" w:right="560" w:firstLine="960"/>
        <w:spacing w:after="0" w:line="295" w:lineRule="auto"/>
        <w:rPr>
          <w:sz w:val="20"/>
          <w:szCs w:val="20"/>
          <w:color w:val="auto"/>
        </w:rPr>
      </w:pPr>
      <w:r>
        <w:rPr>
          <w:rFonts w:ascii="Times New Roman" w:cs="Times New Roman" w:eastAsia="Times New Roman" w:hAnsi="Times New Roman"/>
          <w:sz w:val="17"/>
          <w:szCs w:val="17"/>
          <w:color w:val="auto"/>
        </w:rPr>
        <w:t>The Macau government granted to one of our subsidiaries in Macau the Macau complementary tax exemption until 2021 on profits generated from income received from Melco Resorts Macau, to the extent that</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940"/>
          </w:cols>
          <w:pgMar w:left="320" w:top="472"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40"/>
        <w:spacing w:after="0" w:line="269" w:lineRule="auto"/>
        <w:rPr>
          <w:sz w:val="20"/>
          <w:szCs w:val="20"/>
          <w:color w:val="auto"/>
        </w:rPr>
      </w:pPr>
      <w:r>
        <w:rPr>
          <w:rFonts w:ascii="Times New Roman" w:cs="Times New Roman" w:eastAsia="Times New Roman" w:hAnsi="Times New Roman"/>
          <w:sz w:val="17"/>
          <w:szCs w:val="17"/>
          <w:color w:val="auto"/>
        </w:rPr>
        <w:t>such income is derived from Studio City gaming operations and has been subject to gaming tax. Such subsidiary applied for an extension of the Macau complementary tax exemption for the period from January 1, 2022 to December 31, 2022 and further for the period from January 1, 2023 to December 31, 2032. The application for 2023 to 2032 was rejected and an objection to such decision was denied in a notice dated September 4, 2024. As the tax exemption has not been extended, it may have a material adverse effect on our financial condition.</w:t>
      </w:r>
    </w:p>
    <w:p>
      <w:pPr>
        <w:spacing w:after="0" w:line="169" w:lineRule="exact"/>
        <w:rPr>
          <w:sz w:val="20"/>
          <w:szCs w:val="20"/>
          <w:color w:val="auto"/>
        </w:rPr>
      </w:pPr>
    </w:p>
    <w:p>
      <w:pPr>
        <w:ind w:left="300" w:right="100" w:firstLine="960"/>
        <w:spacing w:after="0" w:line="263" w:lineRule="auto"/>
        <w:rPr>
          <w:sz w:val="20"/>
          <w:szCs w:val="20"/>
          <w:color w:val="auto"/>
        </w:rPr>
      </w:pPr>
      <w:r>
        <w:rPr>
          <w:rFonts w:ascii="Times New Roman" w:cs="Times New Roman" w:eastAsia="Times New Roman" w:hAnsi="Times New Roman"/>
          <w:sz w:val="17"/>
          <w:szCs w:val="17"/>
          <w:color w:val="auto"/>
        </w:rPr>
        <w:t>In February 2024, Melco Resorts Macau entered into an agreement with the Macau government for an annual payment with respect to tax due for dividend distributions to the shareholders of Melco Resorts Macau from gaming profits, whether such dividends are actually distributed by Melco Resorts Macau or not, for the period from 2023 through 2025. Upon the payment of such amount, the shareholders of Melco Resorts Macau will not be liable to pay any other tax in Macau for dividend distributions received from gaming profits. Melco Resorts Macau submitted an application in October 2025 for an extension to the agreement for such annual payment for the period from 2026 through 2027 and such application is currently under review by the Macau government. There is no assurance that the same arrangement will be applied beyond the period previously agreed upon or, in the event a similar arrangement is adopted, whether we will be required to pay a higher annual sum.</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the Philippines</w:t>
      </w:r>
    </w:p>
    <w:p>
      <w:pPr>
        <w:spacing w:after="0" w:line="116" w:lineRule="exact"/>
        <w:rPr>
          <w:sz w:val="20"/>
          <w:szCs w:val="20"/>
          <w:color w:val="auto"/>
        </w:rPr>
      </w:pPr>
    </w:p>
    <w:p>
      <w:pPr>
        <w:ind w:left="300" w:right="7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land and buildings comprising the site occupied by City of Dreams Manila is leased by Melco Resorts Leisure and thus subject to risks associated with tenancy relationships.</w:t>
      </w:r>
    </w:p>
    <w:p>
      <w:pPr>
        <w:spacing w:after="0" w:line="38"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Melco Resorts Leisure entered into a lease agreement on October 25, 2012, which became effective on March 13, 2013 (as amended or supplemented, the “Lease Agreement”), pursuant to which it leases from Belle Corporation the land and buildings occupied by City of Dreams Manila, which, in turn, leases part of the land from the Philippine government’s social security system (the “Social Security System”). Numerous potential issues or causes for disputes may arise from a tenancy relationship, such as with respect to the provision of utilities on the premises, rental lease payments, or any adjustments thereto, and the maintenance and normal repair of the buildings, any of which could result in an arbitrable dispute between Belle Corporation and Melco Resorts Leisure. There can be no assurance that any such dispute would be resolved or settled amicably or expediently or that Melco Resorts Leisure will not encounter any material issues with respect to its tenancy relationship with Belle Corporation. In August 2022 and October 2022, we entered into amendment agreements to the Lease Agreement with Belle Corporation, under which the parties revised the rent payable</w:t>
      </w:r>
    </w:p>
    <w:p>
      <w:pPr>
        <w:spacing w:after="0" w:line="3" w:lineRule="exact"/>
        <w:rPr>
          <w:sz w:val="20"/>
          <w:szCs w:val="20"/>
          <w:color w:val="auto"/>
        </w:rPr>
      </w:pPr>
    </w:p>
    <w:p>
      <w:pPr>
        <w:ind w:left="500" w:hanging="208"/>
        <w:spacing w:after="0"/>
        <w:tabs>
          <w:tab w:leader="none" w:pos="5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2022; and (ii) for the year ended December 31, 2022 through the year ending December 31, 2033, respectively,</w:t>
      </w:r>
    </w:p>
    <w:p>
      <w:pPr>
        <w:spacing w:after="0" w:line="13" w:lineRule="exact"/>
        <w:rPr>
          <w:rFonts w:ascii="Times New Roman" w:cs="Times New Roman" w:eastAsia="Times New Roman" w:hAnsi="Times New Roman"/>
          <w:sz w:val="17"/>
          <w:szCs w:val="17"/>
          <w:color w:val="auto"/>
        </w:rPr>
      </w:pPr>
    </w:p>
    <w:p>
      <w:pPr>
        <w:ind w:left="300" w:right="18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adjustments based on the annual headline inflation and bonus rent pursuant to the terms thereof. There can be no assurance that any material issue arising out of the tenancy relationship can always be resolved swiftly and on terms acceptable to us. Furthermore, if any dispute arises, Belle Corporation, as lessor, could discontinue essential services necessary for the operation of City of Dreams Manila, or seek relief to oust Melco Resorts Leisure from possession of the leased premises. Any prolonged or substantial dispute between Belle Corporation and Melco Resorts Leisure, or any dispute arising under the lease agreement between Belle Corporation and the Social Security System, could have a material adverse effect on the operations of City of Dreams Manila, which could in turn adversely affect our business, financial condition and results of operations. In addition, any negative publicity arising from disputes with, or non-compliance by, Belle Corporation with the Lease Agreement could have a material adverse effect on our business and prospects, financial condition and results of operations.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Furthermore, the Lease Agreement may be terminated under certain circumstances, including Melco Resorts</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Leisure’s non-payment of rent, or if either party fails to substantially perform any material covenants under the Lease Agreement and fails to</w:t>
      </w:r>
    </w:p>
    <w:p>
      <w:pPr>
        <w:spacing w:after="0" w:line="14" w:lineRule="exact"/>
        <w:rPr>
          <w:sz w:val="20"/>
          <w:szCs w:val="20"/>
          <w:color w:val="auto"/>
        </w:rPr>
      </w:pPr>
    </w:p>
    <w:p>
      <w:pPr>
        <w:ind w:left="300"/>
        <w:spacing w:after="0" w:line="273" w:lineRule="auto"/>
        <w:rPr>
          <w:sz w:val="20"/>
          <w:szCs w:val="20"/>
          <w:color w:val="auto"/>
        </w:rPr>
      </w:pPr>
      <w:r>
        <w:rPr>
          <w:rFonts w:ascii="Times New Roman" w:cs="Times New Roman" w:eastAsia="Times New Roman" w:hAnsi="Times New Roman"/>
          <w:sz w:val="17"/>
          <w:szCs w:val="17"/>
          <w:color w:val="auto"/>
        </w:rPr>
        <w:t>remedy such non-performance in a timely manner, which could cause a material adverse effect on our business and prospects, financial condition, results of operations and cash flows.</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960"/>
          </w:cols>
          <w:pgMar w:left="320" w:top="472" w:right="6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Compliance with the terms of the Philippine License, MRP’s ability to operate City of Dreams Manila and the success of City of Dreams Manila as a whole are dependent on the actions of the other Philippine Licensees over which MRP has no control.</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Although Melco Resorts Leisure is the sole operator of City of Dreams Manila, the ability of the Melco Philippine Parties to operate City</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Dreams Manila, as well as the fulfillment of the terms of the Philippine License granted by PAGCOR in relation to City of Dreams Manila, depends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a certain degree on the actions of the Philippine Parties. For example, the Philippine Parties, as well as the Melco Philippine Parties, are responsible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meeting a certain debt to equity ratio as specified in the Philippine License. The failure of any of the Philippine Parties to comply with these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conditions would constitute a breach of the Philippine License. As the Philippine Parties are separate corporate entities over which MRP has no control,</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can be no assurance that the Philippine Parties will remain in compliance with the terms of the Philippine License of their obligations and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responsibilities under the cooperation agreement (as amended) entered into between the Philippine Parties and the Melco Philippine Parties 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October 25, 2012, which became effective on March 13, 2013. In the event of any non-compliance, there can be no assurance that the Philippine License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will not be suspended or revoked. In addition, if any of the Philippine Parties fails to comply with any of the conditions to the Philippine License, MRP</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may be forced to take action against the Philippine Parties under the cooperation agreement between the Philippine Parties and the Melco Philippine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Parties or to enter into negotiations with PAGCOR for amendments to the Philippine License. There can be no assurance that any attempt to amend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Philippine License would be successful. Any of the foregoing could materially and adversely affect our business, financial condition and results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operations.</w:t>
      </w:r>
    </w:p>
    <w:p>
      <w:pPr>
        <w:spacing w:after="0" w:line="20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Furthermore, under the cooperation agreement between the Philippine Parties and the Melco Philippine Parties,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MRP’s control, may curtail the ability of MRP to operate City of Dreams Manila in an efficient manner or at all and could have a material adverse effect on our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Melco Resorts Leisure’s right to operate City of Dreams Manila is subject to certain limitations.</w:t>
      </w:r>
    </w:p>
    <w:p>
      <w:pPr>
        <w:spacing w:after="0" w:line="122"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Melco Resorts Leisure’s right to operate City of Dreams Manila is subject to certain limitations under the operating agreement for the management and operation of City of Dreams Manila, entered into among Melco Resorts Leisure and the Philippine Parties. For example, Melco Resorts Leisure is prohibited from entering into any contract for City of Dreams Manila outside the ordinary course of the operation and management of City of Dreams Manila with an aggregate contract value exceeding US$3.0 million (such contract value to be increased by 5.0% each year on each anniversary date of the operating agreement, with the threshold at approximately US$5.4 million for the year ended December 31, 2025) without the consent of the other Philippine Licensees. In addition, Melco Resorts Leisure is required to remit specified percentages of the mass market and</w:t>
      </w:r>
    </w:p>
    <w:p>
      <w:pPr>
        <w:spacing w:after="0" w:line="2" w:lineRule="exact"/>
        <w:rPr>
          <w:sz w:val="20"/>
          <w:szCs w:val="20"/>
          <w:color w:val="auto"/>
        </w:rPr>
      </w:pPr>
    </w:p>
    <w:p>
      <w:pPr>
        <w:ind w:left="300" w:right="360"/>
        <w:spacing w:after="0" w:line="273" w:lineRule="auto"/>
        <w:rPr>
          <w:sz w:val="20"/>
          <w:szCs w:val="20"/>
          <w:color w:val="auto"/>
        </w:rPr>
      </w:pPr>
      <w:r>
        <w:rPr>
          <w:rFonts w:ascii="Times New Roman" w:cs="Times New Roman" w:eastAsia="Times New Roman" w:hAnsi="Times New Roman"/>
          <w:sz w:val="17"/>
          <w:szCs w:val="17"/>
          <w:color w:val="auto"/>
        </w:rPr>
        <w:t>VIP gaming earnings before interest, tax, depreciation and amortization and other defined adjustments or net revenues derived from City of Dreams Manila to PremiumLeisure and Amusement Inc.</w:t>
      </w:r>
    </w:p>
    <w:p>
      <w:pPr>
        <w:spacing w:after="0" w:line="164" w:lineRule="exact"/>
        <w:rPr>
          <w:sz w:val="20"/>
          <w:szCs w:val="20"/>
          <w:color w:val="auto"/>
        </w:rPr>
      </w:pPr>
    </w:p>
    <w:p>
      <w:pPr>
        <w:ind w:left="300" w:right="340" w:firstLine="960"/>
        <w:spacing w:after="0" w:line="262" w:lineRule="auto"/>
        <w:rPr>
          <w:sz w:val="20"/>
          <w:szCs w:val="20"/>
          <w:color w:val="auto"/>
        </w:rPr>
      </w:pPr>
      <w:r>
        <w:rPr>
          <w:rFonts w:ascii="Times New Roman" w:cs="Times New Roman" w:eastAsia="Times New Roman" w:hAnsi="Times New Roman"/>
          <w:sz w:val="17"/>
          <w:szCs w:val="17"/>
          <w:color w:val="auto"/>
        </w:rPr>
        <w:t>If Melco Resorts Leisure is unable to comply with any of the provisions of the operating agreement, the other parties to the operating agreement may bring lawsuits and seek to suspend or replace Melco Resorts Leisure as the sole operator of City of Dreams Manila, or terminate the operating agreement. Moreover, the Philippine Parties may terminate the operating agreement if Melco Resorts Leisure materially breaches the operating agreement. Termination of the operating agreement, whether resulting from Melco Resorts Leisure’s or the</w:t>
      </w:r>
    </w:p>
    <w:p>
      <w:pPr>
        <w:spacing w:after="0" w:line="1" w:lineRule="exact"/>
        <w:rPr>
          <w:sz w:val="20"/>
          <w:szCs w:val="20"/>
          <w:color w:val="auto"/>
        </w:rPr>
      </w:pPr>
    </w:p>
    <w:p>
      <w:pPr>
        <w:ind w:left="300" w:right="660"/>
        <w:spacing w:after="0" w:line="273" w:lineRule="auto"/>
        <w:rPr>
          <w:sz w:val="20"/>
          <w:szCs w:val="20"/>
          <w:color w:val="auto"/>
        </w:rPr>
      </w:pPr>
      <w:r>
        <w:rPr>
          <w:rFonts w:ascii="Times New Roman" w:cs="Times New Roman" w:eastAsia="Times New Roman" w:hAnsi="Times New Roman"/>
          <w:sz w:val="17"/>
          <w:szCs w:val="17"/>
          <w:color w:val="auto"/>
        </w:rPr>
        <w:t>Philippine Parties’ non-compliance with the operating agreement, could cause a material adverse effect on our business and prospects, financial condition, results of operations and cash flows.</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940"/>
          </w:cols>
          <w:pgMar w:left="320" w:top="472"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Melco Resorts Leisure may be forced to suspend VIP gaming operations at City of Dreams Manila under certain circumstances.</w:t>
      </w:r>
    </w:p>
    <w:p>
      <w:pPr>
        <w:spacing w:after="0" w:line="122" w:lineRule="exact"/>
        <w:rPr>
          <w:sz w:val="20"/>
          <w:szCs w:val="20"/>
          <w:color w:val="auto"/>
        </w:rPr>
      </w:pPr>
    </w:p>
    <w:p>
      <w:pPr>
        <w:ind w:left="300" w:right="160" w:firstLine="960"/>
        <w:spacing w:after="0" w:line="263" w:lineRule="auto"/>
        <w:rPr>
          <w:sz w:val="20"/>
          <w:szCs w:val="20"/>
          <w:color w:val="auto"/>
        </w:rPr>
      </w:pPr>
      <w:r>
        <w:rPr>
          <w:rFonts w:ascii="Times New Roman" w:cs="Times New Roman" w:eastAsia="Times New Roman" w:hAnsi="Times New Roman"/>
          <w:sz w:val="17"/>
          <w:szCs w:val="17"/>
          <w:color w:val="auto"/>
        </w:rPr>
        <w:t>Under the operating agreement for City of Dreams Manila, Melco Resorts Leisure must periodically calculate, on a 24-month basis, the respective amounts of VIP gaming earnings before interest, tax, depreciation and amortization and other defined adjustments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ten business days to discuss and review City of Dreams Manila’s financial performance and agree on any changes to be made to the business operations of City of Dreams Manila and/or to the payment terms under the operating agreement. If such an agreement cannot be reached within 90 business days, Melco Resorts Leisure must suspend VIP gaming operations at City of Dreams Manila.</w:t>
      </w:r>
    </w:p>
    <w:p>
      <w:pPr>
        <w:spacing w:after="0" w:line="173" w:lineRule="exact"/>
        <w:rPr>
          <w:sz w:val="20"/>
          <w:szCs w:val="20"/>
          <w:color w:val="auto"/>
        </w:rPr>
      </w:pPr>
    </w:p>
    <w:p>
      <w:pPr>
        <w:ind w:left="300" w:right="60" w:firstLine="960"/>
        <w:spacing w:after="0" w:line="267" w:lineRule="auto"/>
        <w:rPr>
          <w:sz w:val="20"/>
          <w:szCs w:val="20"/>
          <w:color w:val="auto"/>
        </w:rPr>
      </w:pPr>
      <w:r>
        <w:rPr>
          <w:rFonts w:ascii="Times New Roman" w:cs="Times New Roman" w:eastAsia="Times New Roman" w:hAnsi="Times New Roman"/>
          <w:sz w:val="17"/>
          <w:szCs w:val="17"/>
          <w:color w:val="auto"/>
        </w:rPr>
        <w:t>Any suspension of VIP gaming operations at City of Dreams Manila could materially and adversely impact gaming revenues from City of Dreams Manila. Moreover, suspension of VIP gaming operations could effectively lead Melco Resorts Leisure to limit or</w:t>
      </w:r>
    </w:p>
    <w:p>
      <w:pPr>
        <w:spacing w:after="0" w:line="1" w:lineRule="exact"/>
        <w:rPr>
          <w:sz w:val="20"/>
          <w:szCs w:val="20"/>
          <w:color w:val="auto"/>
        </w:rPr>
      </w:pPr>
    </w:p>
    <w:p>
      <w:pPr>
        <w:ind w:left="300" w:right="80"/>
        <w:spacing w:after="0" w:line="262" w:lineRule="auto"/>
        <w:rPr>
          <w:sz w:val="20"/>
          <w:szCs w:val="20"/>
          <w:color w:val="auto"/>
        </w:rPr>
      </w:pPr>
      <w:r>
        <w:rPr>
          <w:rFonts w:ascii="Times New Roman" w:cs="Times New Roman" w:eastAsia="Times New Roman" w:hAnsi="Times New Roman"/>
          <w:sz w:val="17"/>
          <w:szCs w:val="17"/>
          <w:color w:val="auto"/>
        </w:rPr>
        <w:t>suspend certain non-gaming operations focusing on VIP players, such as the VIP hotel and VIP lounge, which would further reduce revenues from City of Dreams Manila. Any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MRP’s strategy to attract Premium Market customers to City of Dreams Manila may not be effective.</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A part of MRP’s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the Philippines or elsewhere in the region, as these players may be unfamiliar with the Philippines or refuse to change their normal gaming destination. If MRP is unable to expand in the premium market as it intends, this would adversely affect its and/or our business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Changes in public acceptance of gaming in the Philippines may adversely affect City of Dreams Manila.</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may materially and adversely affect our business, financial condition and results of operations.</w:t>
      </w:r>
    </w:p>
    <w:p>
      <w:pPr>
        <w:spacing w:after="0" w:line="274"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MRP may be unable to successfully register City of Dreams Manila as a tourism enterprise zone with the Philippine Tourism Infrastructure and Enterprise Zone Authority, an agency of the Philippine Department of Tourism (“TIEZA”).</w:t>
      </w:r>
    </w:p>
    <w:p>
      <w:pPr>
        <w:spacing w:after="0" w:line="38" w:lineRule="exact"/>
        <w:rPr>
          <w:sz w:val="20"/>
          <w:szCs w:val="20"/>
          <w:color w:val="auto"/>
        </w:rPr>
      </w:pPr>
    </w:p>
    <w:p>
      <w:pPr>
        <w:jc w:val="both"/>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While Melco Resorts Leisure intends to apply for a designation as a tourism enterprise with TIEZA, there can be no assurance that TIEZA will approve the designation of Melco Resorts Leisure as a tourism enterprise. If Melco Resorts Leisure is unable to register as a tourism enterprise with TIEZA, it will not be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940"/>
          </w:cols>
          <w:pgMar w:left="320" w:top="472"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entitled to certain fiscal incentives provided to some of Melco Resorts Leisure’s competitors that are registered as tourism enterprises under TIEZA. For example, MRP’s liability for value added tax (“VAT”) on its sales largely depends on whether it may avail itself of tax incentives under TIEZA. If tax incentives under TIEZA are not available to MRP, it will be liable for VAT, which may result in a material adverse effect on our business and prospects, financial condition, results of operations and cash flows.</w:t>
      </w:r>
    </w:p>
    <w:p>
      <w:pPr>
        <w:spacing w:after="0" w:line="169" w:lineRule="exact"/>
        <w:rPr>
          <w:sz w:val="20"/>
          <w:szCs w:val="20"/>
          <w:color w:val="auto"/>
        </w:rPr>
      </w:pPr>
    </w:p>
    <w:p>
      <w:pPr>
        <w:jc w:val="both"/>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In addition, if Melco Resorts Leisure is able to register as a tourism enterprise with TIEZA, it will then be required to withdraw its current registration as a tourism economic zone enterprise with the Philippine Economic Zone Authority. The process of shifting from a tourism economic zone enterprise under the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71"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However, several legislative bills were previously passed and are currently pending in the Philippine legislature with a view towards rationalizing fiscal incentives currently granted to certain enterprises and activities, including tourism enterprises. It is uncertain whether these bills will be passed into law, or what the effect, if any, will be on the incentives currently granted to qualified tourism enterprises under the Republic Act No. 9593, of the Philippines, or the Tourism Act of 2009.</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MRP’s gaming operations are dependent on the Philippine License issued by PAGCOR.</w:t>
      </w:r>
    </w:p>
    <w:p>
      <w:pPr>
        <w:spacing w:after="0" w:line="122" w:lineRule="exact"/>
        <w:rPr>
          <w:sz w:val="20"/>
          <w:szCs w:val="20"/>
          <w:color w:val="auto"/>
        </w:rPr>
      </w:pPr>
    </w:p>
    <w:p>
      <w:pPr>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PAGCOR regulates all gaming activities in the Philippines except for lottery, sweepstakes, jueteng, horse racing and gaming inside the Cagayan Export Zone. City of Dreams Manila’s gaming areas may only legally operate under the Philippine License granted by PAGCOR, which imposes certain requirements on the Melco Philippine Parties and their service providers.</w:t>
      </w:r>
    </w:p>
    <w:p>
      <w:pPr>
        <w:spacing w:after="0" w:line="16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The Philippine License is also subject to suspension or termination upon the occurrence of certain events. The requirements imposed by the Philippine License include, among others:</w:t>
      </w:r>
    </w:p>
    <w:p>
      <w:pPr>
        <w:spacing w:after="0" w:line="55" w:lineRule="exact"/>
        <w:rPr>
          <w:sz w:val="20"/>
          <w:szCs w:val="20"/>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monthly license fees to PAGCOR;</w:t>
      </w:r>
    </w:p>
    <w:p>
      <w:pPr>
        <w:spacing w:after="0" w:line="131"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debt-to-equity ratio (based on calculation as agreed with PAGCOR) for each of the Philippine Licensees of no greater than 70:30;</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95.0% of the total employees of City of Dreams Manila must be Philippine citizens;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Philippine Licensees shall demonstrate the fitness and propriety of gaming promoters;</w:t>
      </w:r>
    </w:p>
    <w:p>
      <w:pPr>
        <w:spacing w:after="0" w:line="131" w:lineRule="exact"/>
        <w:rPr>
          <w:rFonts w:ascii="Times New Roman" w:cs="Times New Roman" w:eastAsia="Times New Roman" w:hAnsi="Times New Roman"/>
          <w:sz w:val="17"/>
          <w:szCs w:val="17"/>
          <w:color w:val="auto"/>
        </w:rPr>
      </w:pPr>
    </w:p>
    <w:p>
      <w:pPr>
        <w:ind w:left="1240" w:right="1260" w:hanging="530"/>
        <w:spacing w:after="0" w:line="295"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certain casino revenues must be remitted to a foundation devoted to the restoration of cultural heritage and 5.0% of certain non-gaming revenues to PAGCOR;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 of only the authorized casino games approved by PAGCOR.</w:t>
      </w:r>
    </w:p>
    <w:p>
      <w:pPr>
        <w:spacing w:after="0" w:line="223"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Moreover, certain provisions and requirements of the Philippine License are open to different interpretations and have not been interpreted by Philippine courts or made subject to more detailed interpretative rules. There is no guarantee that the Melco Philippine Parties’ proposed mode of compliance with these or other requirements of the Philippine License will be free from administrative or judicial scrutiny in the future. Any difference in interpretation between PAGCOR and MRP with respect to the Philippine License could result in sanctions against the Melco Philippine Parties, including fines or other penalties, such as suspension or termination of the Philippine License. There can be no assurance that the Philippine Licensees will be able to continuously comply with all of the Philippine License’s requirements, or that the Philippine License will not be modified to contain more onerous terms or amended in such a manner that would cause the Philippine Licensees to lose interest in the operation of City of Dreams Manila. If the Philippine License is materially altered or revoked for any reason, including the failure by any of the Philippine Licensees to comply with its terms, MRP</w:t>
      </w:r>
    </w:p>
    <w:p>
      <w:pPr>
        <w:spacing w:after="0" w:line="3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920"/>
          </w:cols>
          <w:pgMar w:left="320" w:top="472"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may be required to cease City of Dreams Manila’s gaming operations, which could have a material adverse effect on our business, financial condition and results of operations. In addition, a failure in the internal control systems of MRP may cause PAGCOR to adversely modify or revoke the Philippine License. Finally, the Philippine License will terminate in 2033, coinciding with the PAGCOR Charter’s termination, and there is no guarantee that the PAGCOR Charter or the Philippine License will be renewed.</w:t>
      </w:r>
    </w:p>
    <w:p>
      <w:pPr>
        <w:spacing w:after="0" w:line="169"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addition, City of Dreams Manila’s gaming operation is highly regulated in the Philippines. As PAGCOR is also a gaming operator, there can be no assurance that PAGCOR will not withhold certain approvals from the Melco Philippine Parties in order to favor its own gaming operations. PAGCOR may also modify or impose additional conditions on its licensees or impose restrictions or limitations on Melco Resorts Leisure’s casino operations that would interfere with Melco Resorts Leisure’s ability to provide VIP services, which could adversely affect MRP’s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Manila may be required to obtain an additional legislative franchise, in addition to its Philippine License.</w:t>
      </w:r>
    </w:p>
    <w:p>
      <w:pPr>
        <w:spacing w:after="0" w:line="122"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On August 2, 2017, House Bill No. 6111 was filed which proposed the creation of the Philippine Amusements and Gaming Authority, or PAGA, which, if adopted, would replace PAGCOR as the regulatory agency of gaming activities in the Philippines. Also under House Bill No. 6111, the holders of gaming licenses in the Philippines, including the Philippine Licensees, would be required to obtain from the Philippine Congress a legislative franchise to operate gambling casinos, gaming clubs and other similar gambling enterprises within one year from the date of the proposed law’s effectiveness. Non-compliance would result in the operations of holders of gaming licenses in the Philippines, including the Philippine Licensees, to be considered as illegal. On October 2, 2017, House Bill No. 6514 was filed whose provisions are essentially similar to House Bill No. 6111, particularly on the need for holders of gaming licenses in the Philippines, including the Philippine Licensees, to obtain from the Philippine Congress a legislative franchise within one year from the date of the proposed law’s effectiveness.</w:t>
      </w:r>
    </w:p>
    <w:p>
      <w:pPr>
        <w:spacing w:after="0" w:line="175"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the event that House Bills 6111 and 6514 are signed into law, City of Dreams Manila may be required to obtain a legislative franchise in addition to its Philippine License and there can be no assurance that such a franchise, which requires legislative approval, will be granted. In addition, the Philippine License may be subject to amendment or repeal by the Philippine Congress. In the event City of Dreams Manila is not granted any required franchise, or the Philippine License is materially amended or repealed, the operation of City of Dreams Manila may cease, which could, in turn, have a material adverse effect on our business, financial condition and results of operations.</w:t>
      </w:r>
    </w:p>
    <w:p>
      <w:pPr>
        <w:spacing w:after="0" w:line="272"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to fiscal incentives and other forms of taxes that may be implemented by the Philippines government from time to time may have a material adverse effect on our Philippine subsidiaries.</w:t>
      </w:r>
    </w:p>
    <w:p>
      <w:pPr>
        <w:spacing w:after="0" w:line="38"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For the gaming-related transactions in our Philippines operations, Melco Resorts Leisure currently enjoys exemptions from national, local, direct and indirect taxes, including VAT, in the Philippines pursuant to the PAGCOR charter, as a result of its payment of the 5% franchise tax directly payable to the Philippine Bureau of Internal Revenue (“BIR”) based on gross gaming revenue in the Philippines. In 2022, the BIR issued Revenue Memorandum Circular No. 32-2022, which sought to impose 12% VAT on gaming revenue. While Melco Resorts Leisure and the other integrated resorts submitted a joint letter to BIR challenging the imposition of VAT on gaming transactions, there is no assurance that we will prevail on any challenge and any assessment of VAT on our gaming revenue could have a material adverse effect on our business, financial condition and results of operations. In December 2024, the BIR issued Revenue Memorandum Circular No. 132-2024 clarifying and upholding that the 5% franchise tax on the income derived from the gaming operations of PAGCOR, its licensees and contractees shall be in lieu of all local and national taxes including indirect taxes such as VAT.</w:t>
      </w: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940"/>
          </w:cols>
          <w:pgMar w:left="320" w:top="472"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20" w:firstLine="960"/>
        <w:spacing w:after="0" w:line="264" w:lineRule="auto"/>
        <w:rPr>
          <w:sz w:val="20"/>
          <w:szCs w:val="20"/>
          <w:color w:val="auto"/>
        </w:rPr>
      </w:pPr>
      <w:r>
        <w:rPr>
          <w:rFonts w:ascii="Times New Roman" w:cs="Times New Roman" w:eastAsia="Times New Roman" w:hAnsi="Times New Roman"/>
          <w:sz w:val="17"/>
          <w:szCs w:val="17"/>
          <w:color w:val="auto"/>
        </w:rPr>
        <w:t>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 Our Philippines subsidiaries are also liable for VAT on certain transactions. On March 26, 2021, the Corporate Recovery and Tax Incentives for Enterprises (“CREATE”) was signed and took effect on April 11, 2021 and is applicable to income derived from our non-gaming operations in the Philippines. CREATE reduced the minimum corporate income tax rate from 2% to 1% for the period from July 1, 2020 to June 30, 2023 and the corporate income tax rate from 30% to 25% starting July 1, 2020.</w:t>
      </w:r>
    </w:p>
    <w:p>
      <w:pPr>
        <w:spacing w:after="0" w:line="17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Any future amendments of CREATE, such as changes on the application of value-added and corporate income taxes and tax rates or changes to the fiscal incentives provided to Melco Resorts Leisure pursuant to its registration with the Philippine Economic Zone Authority as a Tourism Economic Zone Enterprise, may have significant negative impact on our Philippines business. Our Philippine subsidiaries may also be subject to other forms of taxes that may be implemented by the Philippine government from time to time, which could have a material adverse effect on our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MRP is exposed to risks in relation to MRP’s previous business activities and industry.</w:t>
      </w:r>
    </w:p>
    <w:p>
      <w:pPr>
        <w:spacing w:after="0" w:line="122" w:lineRule="exact"/>
        <w:rPr>
          <w:sz w:val="20"/>
          <w:szCs w:val="20"/>
          <w:color w:val="auto"/>
        </w:rPr>
      </w:pPr>
    </w:p>
    <w:p>
      <w:pPr>
        <w:ind w:left="300" w:right="20" w:firstLine="960"/>
        <w:spacing w:after="0" w:line="265" w:lineRule="auto"/>
        <w:rPr>
          <w:sz w:val="20"/>
          <w:szCs w:val="20"/>
          <w:color w:val="auto"/>
        </w:rPr>
      </w:pPr>
      <w:r>
        <w:rPr>
          <w:rFonts w:ascii="Times New Roman" w:cs="Times New Roman" w:eastAsia="Times New Roman" w:hAnsi="Times New Roman"/>
          <w:sz w:val="17"/>
          <w:szCs w:val="17"/>
          <w:color w:val="auto"/>
        </w:rPr>
        <w:t>Prior to our acquisition of MRP, MRP’s primary business was the manufacture and processing of pharmaceutical products. The pharmaceuticals industry is highly regulated in the Philippines and abroad. There can be no assurance that MRP will not be involved in or subject to claims, allegations or suits with respect to its previous activities in the pharmaceutical industry for which MRP may not be insured fully or at all. Although MRP has indemnities as to certain liabilities or claims or other protections put in place, any adverse claim or liability imputed to MRP with respect to its previous business activities could have a material adverse effect on its business and prospects, financial condition, results of operations and cash flow.</w:t>
      </w: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Philippine operations may be adversely affected by policy changes in the Philippines.</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Our Philippine operations may be adversely affected by changes in policies due to changes in government personnel in the Philippines, including but not limited to any changes following elections in the Philippines. There can be no assurance that newly elected or appointed officials will not modify previous policies in relation to the development and operation of integrated tourism resorts in the Philippines, tax incentives extended to their developers or operators or policies on gaming and tourism in the Philippines in general. Newly elected or appointed officials may also impose more stringent or additional conditions on gaming licenses or seek to discourage Philippine citizens from gambling by imposing restrictions. We are unable to predict whether new officials will seek to further alter or impose stricter conditions relating to gaming in the Philippines. Adverse changes in policies and regulations by the current administration or any officials elected or appointed in the future in the Philippines could disrupt the operations of our Philippine subsidiaries and materially and adversely affect our financial condition and results of operations.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Cyprus</w:t>
      </w:r>
    </w:p>
    <w:p>
      <w:pPr>
        <w:spacing w:after="0" w:line="116" w:lineRule="exact"/>
        <w:rPr>
          <w:sz w:val="20"/>
          <w:szCs w:val="20"/>
          <w:color w:val="auto"/>
        </w:rPr>
      </w:pPr>
    </w:p>
    <w:p>
      <w:pPr>
        <w:ind w:left="30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in Cyprus, particularly at City of Dreams Mediterranean, face significant risks and uncertainties which may materially and adversely affect our business, financial condition and results of operations.</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Our operations in Cyprus include City of Dreams Mediterranean and the license to operate four satellite casinos. In July 2019, we acquired a 75% equity interest in ICR Cyprus from Melco International, our controlling shareholder, while the remaining 25% equity interest in ICR Cyprus is held by The Cyprus Phassouri (Zakaki) Limited. We have entered into a shareholders’ agreement with The Cyprus Phassouri (Zakaki) Limited regarding certain commercial and financial arrangements pursuant to which we, as more fully set out in additional management and service contracts, (i) provide certain corporate-level management services to ICR Cyprus and</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940"/>
          </w:cols>
          <w:pgMar w:left="320" w:top="472"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0"/>
        <w:spacing w:after="0" w:line="276" w:lineRule="auto"/>
        <w:rPr>
          <w:sz w:val="20"/>
          <w:szCs w:val="20"/>
          <w:color w:val="auto"/>
        </w:rPr>
      </w:pPr>
      <w:r>
        <w:rPr>
          <w:rFonts w:ascii="Times New Roman" w:cs="Times New Roman" w:eastAsia="Times New Roman" w:hAnsi="Times New Roman"/>
          <w:sz w:val="17"/>
          <w:szCs w:val="17"/>
          <w:color w:val="auto"/>
        </w:rPr>
        <w:t>its subsidiaries for a fixed amount of EUR2 million (equivalent to approximately US$2.4 million) per annum and (ii) have the right to receive an allotment of preference shares in the gaming license-holding subsidiary of ICR Cyprus, which will provide the right to a preferential dividend, among other terms.</w:t>
      </w:r>
    </w:p>
    <w:p>
      <w:pPr>
        <w:spacing w:after="0" w:line="16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We will require the continued cooperation of The Cyprus Phassouri (Zakaki) Limited for the operation of City of Dreams Mediterranean and the Cyprus Casinos. Two satellite casinos in Nicosia and Larnaca opened in 2018 (the Larnaca satellite casino ceased operations in June 2020), one satellite casino opened in 2019 in Ayia Napa and one satellite casino in Paphos opened in February 2020. In addition, our City of Dreams Mediterranean project, which required significant investment of capital and other resources, opened to the public in July 2023. Prior to the opening of City of Dreams Mediterranean, we operated a temporary casino in Limassol from 2018 to 2023. Our operations in Cyprus are also subject to ongoing compliance with various laws, regulations, licenses, permits and renewals of those licenses and permits. Given our relatively short operating history and limited experience in Cyprus, which also represents our first significant business venture outside of Asia, it may be difficult for us to comply with the applicable laws and regulations or to secure all necessary licenses and permits in Cyprus, which could be time-consuming and significantly increase our costs. In addition, Cyprus is a relatively new gaming market and we may not achieve the intended results or return through our operations in Cyprus.</w:t>
      </w:r>
    </w:p>
    <w:p>
      <w:pPr>
        <w:spacing w:after="0" w:line="178"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color w:val="auto"/>
        </w:rPr>
        <w:t>While we have already made significant capital investments for the development and operation of our operations in Cyprus, the ongoing operation of City of Dreams Mediterranean requires further significant additional capital investments, which may be funded through various sources, including equity, cash on hand, operating free cash flow as well as other financing, including by way of shareholder loans and external debt financing. We will be required to obtain approval from, or the consent of, or notify relevant government authorities, including the CGC, in order to enter into any debt financing, and there can be no assurance that we will be able to obtain the necessary approvals or consents for debt financing in a timely manner or at all. Our ability to obtain such debt financing also depends on a number of factors beyond our control, including the military conflict between Russia and Ukraine and conflicts in the Middle East, rising interest rates, market volatility, and a contraction of liquidity in the global credit markets and lenders’ perceptions of, and demand for, the debt financing for City of Dreams Mediterranean. Under the shareholders’ agreement entered into between us and The Cyprus Phassouri (Zakaki) Limited regarding ICR Cyprus, the shareholders were obligated to use all commercially reasonable endeavors, subject to certain terms and conditions, to source debt financing of up to EUR437 million (equivalent to approximately US$514 million) for the development of City of Dreams Mediterranean. To the extent there was a shortfall in the amount of third-party debt available (or available on commercially-acceptable terms), we were obligated to fund the shortfall up to the full amount of EUR437 million (equivalent to approximately US$514 million) on terms which are, subject to certain terms and conditions, no less favorable to the project than any commercially-acceptable terms available in the commercial lending market. In connection therewith, a shareholder loan agreement for up to EUR275 million (equivalent to approximately US$324 million) was entered into by a subsidiary of the Company as lender, and Integrated Casino Resorts as borrower in March 2020. In addition, a further shareholder loan agreement for up to EUR250 million (equivalent to approximately US$294 million) was entered into by a subsidiary of the Company as lender, and Integrated Casino Resorts as borrower in May 2022, along with a subordination agreement pursuant to which the March 2020 shareholder loan was subordinated to the May 2022 shareholder loan. There is no guarantee that we can secure the necessary additional capital investments, including any additional or replacement debt financing, required for the ongoing operation of City of Dreams Mediterranean in a timely manner or at all. In addition, our operation of City of Dreams Mediterranean remains subject to additional risks, particularly, the military conflict between Russia and Ukraine, the Israel-Hamas conflict, and other conflicts in the Middle East, including between the United States, Israel and Iran, and the resulting disruptions.</w:t>
      </w:r>
    </w:p>
    <w:p>
      <w:pPr>
        <w:spacing w:after="0" w:line="396"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See “— 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 for discussions of events relating to Cyprus.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940"/>
          </w:cols>
          <w:pgMar w:left="320" w:top="472"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All of the foregoing trends, risks and uncertainties may have a material adverse impact on our business, financial condition and results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operations.</w:t>
      </w:r>
    </w:p>
    <w:p>
      <w:pPr>
        <w:spacing w:after="0" w:line="305"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Cyprus’ gaming operations are dependent on the Cyprus License issued by CGC and any failure to comply with the terms of the Cyprus License could have a material adverse effect on our business, financial condition and results of operations.</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Our current operations in Cyprus, including City of Dreams Mediterranean in Limassol and three satellite casinos in Nicosia, Ayia Napa and Paphos, are dependent on the Cyprus License granted by the government of Cyprus to Integrated Casino Resorts on June 26, 2017. Under the Cyprus License, Integrated Casino Resorts has been granted the right to develop, operate and maintain an integrated casino resort in Limassol, Cyprus and up to four satellite casino premises in Cyprus, for a term of 30 years from the date of grant with the right for exclusivity in Cyprus for the first 15 years of the term. The Cyprus License imposes certain requirements and conditions on Integrated Casino Resorts and its service providers, including the threat of suspension or termination of the Cyprus License upon the occurrence of certain events. Such requirements include, among others:</w:t>
      </w:r>
    </w:p>
    <w:p>
      <w:pPr>
        <w:spacing w:after="0" w:line="82" w:lineRule="exact"/>
        <w:rPr>
          <w:sz w:val="20"/>
          <w:szCs w:val="20"/>
          <w:color w:val="auto"/>
        </w:rPr>
      </w:pPr>
    </w:p>
    <w:p>
      <w:pPr>
        <w:ind w:left="1240" w:hanging="530"/>
        <w:spacing w:after="0" w:line="261"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operation of City of Dreams Mediterranean and, until the operation of such integrated casino resort, a temporary casino, payment to the government of Cyprus of an annual license fee of EUR2.5 million (equivalent to approximately US$2.9 million) per year for the first four-year period commencing from June 26, 2017, the grant date of the Cyprus License, and an annual license fee of EUR5.0 million (equivalent to approximately US$5.9 million) per year for the second four-year period. Upon completion of the above eight-year period and for each four-year period thereafter, the government of Cyprus may review the annual license fee payable for each four-year term, provided that the annual license fee payable per year shall be no less than EUR5.0 million (equivalent to approximately US$5.9 million) and subject to a maximum percentage increase. Pursuant to a letter from the CGC in August 2025, the annual license fee for the integrated casino resort remains EUR5.0 million (equivalent to approximately US$5.9 million) per year until the twelfth year following the date of grant of the Cyprus License;</w:t>
      </w:r>
    </w:p>
    <w:p>
      <w:pPr>
        <w:spacing w:after="0" w:line="86" w:lineRule="exact"/>
        <w:rPr>
          <w:rFonts w:ascii="Times New Roman" w:cs="Times New Roman" w:eastAsia="Times New Roman" w:hAnsi="Times New Roman"/>
          <w:sz w:val="17"/>
          <w:szCs w:val="17"/>
          <w:color w:val="auto"/>
        </w:rPr>
      </w:pPr>
    </w:p>
    <w:p>
      <w:pPr>
        <w:ind w:left="1240" w:right="580" w:hanging="530"/>
        <w:spacing w:after="0" w:line="29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operation of the satellite casino in Nicosia, payment to the government of Cyprus of an annual license fee of EUR1.0 million (equivalent to approximately US$1.2 million) per year since its commencement of operations;</w:t>
      </w:r>
    </w:p>
    <w:p>
      <w:pPr>
        <w:spacing w:after="0" w:line="55"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operation of each of the satellite casinos in Larnaca (which ceased operation in June 2020), Ayia Napa and Paphos, payment to the government of Cyprus of an annual license fee of EUR0.5 million (equivalent to approximately US$0.6 million) per year since their operations commenced; and</w:t>
      </w:r>
    </w:p>
    <w:p>
      <w:pPr>
        <w:spacing w:after="0" w:line="70"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to the government of Cyprus of a monthly casino tax of an amount equal to 15% of the gross gaming revenue, such casino tax not to be increased during the initial 15-year exclusivity period under the Cyprus License.</w:t>
      </w:r>
    </w:p>
    <w:p>
      <w:pPr>
        <w:spacing w:after="0" w:line="147"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Moreover, given that the Cyprus License is the first casino license granted in Cyprus, certain provisions and requirements of the Cyprus License have not yet been interpreted by Cyprus courts and may thereby be subject to different interpretations. There is no guarantee that Integrated Casino Resorts’ proposed mode of compliance with these or other requirements of the Cyprus License will be free from administrative or judicial scrutiny in the future. Any difference in interpretation of such Cyprus License requirements between the CGC and/or the government of Cyprus on the one hand and Integrated Casino Resorts on the other could result in sanctions against Integrated Casino Resorts, including fines or other penalties such as suspension or even termination of the Cyprus License.</w:t>
      </w:r>
    </w:p>
    <w:p>
      <w:pPr>
        <w:spacing w:after="0" w:line="17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There can be no assurance that we will be able to continuously comply with all the requirements under the Cyprus License, or that the Cyprus License will not be modified to contain more onerous terms or in such other manner that would cause us to lose our interest in our Cyprus operations, particularly when the initial 15-year exclusivity period expires in 2032. If the Cyprus License is materially altered or revoked for any reason, including due to any failure by us to comply with its terms, we may be required to cease our gaming operations in Cyprus, which could have a material adverse effect on our business, financial condition and results of operations.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940"/>
          </w:cols>
          <w:pgMar w:left="320" w:top="472"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Other Jurisdictions that We Operate</w:t>
      </w:r>
    </w:p>
    <w:p>
      <w:pPr>
        <w:spacing w:after="0" w:line="116"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in Sri Lanka face significant risks and uncertainties which may materially and adversely affect our business, financial condition and results of operations.</w:t>
      </w:r>
    </w:p>
    <w:p>
      <w:pPr>
        <w:spacing w:after="0" w:line="38"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We commenced operations of the Sri Lanka Casino and management of Nüwa Sri Lanka in the third quarter of 2025. Historically, the leading source of tourists in Sri Lanka has come from India. While we intend to attract such tourists to City of Dreams Sri Lanka, it is uncertain if we will be successful in doing so. There are also significant legal restrictions around advertising and promotions of gambling in India. If City of Dreams Sri Lanka is unable to attract customers from India, this could adversely affect our business and results of operations.</w:t>
      </w:r>
    </w:p>
    <w:p>
      <w:pPr>
        <w:spacing w:after="0" w:line="169"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Although we have obtained the Sri Lanka License, there is considerable uncertainty about how the legal and regulatory environment may change in the near future. In particular, the Gambling Regulatory Authority Act, No. 17 of 2025 (“GRA Act”), which became effective on December, 1 2025, establishes a new gambling regulatory authority, compliance framework and foundation for new gambling regulations to be issued in Sri Lanka that could materially affect the manner in which we conduct our business. There is uncertainty regarding the scope, timing, and nature of gambling regulations to be issued in Sri Lanka. Moreover, because the current regulatory framework remains limited, we have only partial visibility into how prospective laws or regulations such as those pertaining to responsible gaming, corporate governance, and anti-money laundering might be adopted or enforced by any future casino regulatory authority. Any change in the legal and regulatory environment could increase our compliance costs and adversely affect our business and results of operations. Furthermore, failure to comply with any new regulatory requirements could result in penalties, fines, or other enforcement actions. In addition, the corporate income tax for gaming businesses has been increased from 40% to 45% since April 1, 2025, the monthly gross collection levy on the total collections from the business of gaming has been increased from 15% to 18% since January 1, 2026, and the casino entrance levy fee for Sri Lankan citizens has been increased from US$50 to US$100 since January 1, 2026. We will need to adjust our internal controls, compliance systems, marketing strategies or capital investment plans to meet new regulatory requirements or address more vigorous enforcement practices.</w:t>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in Sri Lanka are dependent on the continued cooperation of John Keells.</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Our subsidiary, Bluehaven Services, has entered into a casino lease agreement with a subsidiary of John Keells, Waterfront Properties (Private) Limited (“Waterfront Properties”), under which we have leased an area within City of Dreams Sri Lanka to operate a casino business. Our subsidiary, MCO Europe Holdings Three (NL) B.V., executed a hotel management agreement with Waterfront Properties to manage the top five floors of City of Dreams Sri Lanka under our Nüwa brand. We commenced operations of the Sri Lanka Casino and management of Nüwa Sri Lanka in the third quarter of 2025. The successes of both the Sri Lanka Casino and Nüwa Sri Lanka within City of Dreams Sri Lanka are dependent on the continued cooperation of John Keells.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leased area within City of Dreams Sri Lanka to operate a casino business is subject to risks associated with a tenancy relationship.</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lease with Waterfront Properties for an area within City of Dreams Sri Lanka to operate a casino business became effective on July 10, 2024. Numerous potential issues or causes for disputes may arise from a tenancy relationship, such as with respect to the provision of utilities on the premises, rental lease payments, or any adjustments thereto, any of which could result in a dispute between Waterfront Properties and us. There can be no assurance that any such dispute would be resolved or settled amicably or expediently or that we will not encounter any material issues with respect to the tenancy relationship with Waterfront Properties. There can be no assurance that any material issue arising out of the tenancy relationship can always be resolved swiftly and on terms acceptable to us. Furthermore, if any dispute arises, Waterfront Properties, as lessor, could discontinue essential services necessary for the leased area, or seek relief to oust us from possession of the leased premises. Any prolonged or substantial dispute under the casino lease agreement could have a material adverse effect on our operations at City of Dreams Sri Lanka, which could in turn, adversely affect our business, financial condition and results of operations.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940"/>
          </w:cols>
          <w:pgMar w:left="320" w:top="472"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Furthermore, the casino lease agreement may be terminated under certain circumstances, including non-payment of rent, or if either party fails to substantially perform any material covenants under the casino lease agreement and fails to remedy such non-performance in a timely manner, which could cause a material adverse effect on our business and prospects, financial condition, results of operations and cash flows.</w:t>
      </w:r>
    </w:p>
    <w:p>
      <w:pPr>
        <w:spacing w:after="0" w:line="263"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in Sri Lanka are dependent on the Sri Lanka License and any failure to comply with the terms of the Sri Lanka License could have a material adverse effect on our business, financial condition and results of operations.</w:t>
      </w:r>
    </w:p>
    <w:p>
      <w:pPr>
        <w:spacing w:after="0" w:line="38"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The Sri Lanka License, the GRA Act and regulations issued under the previous Casino Business (Regulation) Act, No. 17 of 2010, provide the main regulatory framework to conduct and operate a casino business in Sri Lanka. Our Sri Lanka License is valid for a period of 20 years commencing from April 1, 2024.</w:t>
      </w:r>
    </w:p>
    <w:p>
      <w:pPr>
        <w:spacing w:after="0" w:line="16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There are limited operational requirements prescribed under the GRA Act and the regulations issued under the previous Casino Business (Regulation) Act, No. 17 of 2010 which are still valid to the extent they are not inconsistent with the GRA Act. These include:</w:t>
      </w:r>
    </w:p>
    <w:p>
      <w:pPr>
        <w:spacing w:after="0" w:line="55" w:lineRule="exact"/>
        <w:rPr>
          <w:sz w:val="20"/>
          <w:szCs w:val="20"/>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 compliance officer to ensure adherence to laws and license terms;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certain activities such as unlicensed money lending, disorderly or illegal activities;</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those under the legal minimum age from entering or gambling in casinos, and conspicuously displaying gambling licenses in the licensed premises;</w:t>
      </w:r>
    </w:p>
    <w:p>
      <w:pPr>
        <w:spacing w:after="0" w:line="55" w:lineRule="exact"/>
        <w:rPr>
          <w:rFonts w:ascii="Times New Roman" w:cs="Times New Roman" w:eastAsia="Times New Roman" w:hAnsi="Times New Roman"/>
          <w:sz w:val="17"/>
          <w:szCs w:val="17"/>
          <w:color w:val="auto"/>
        </w:rPr>
      </w:pPr>
    </w:p>
    <w:p>
      <w:pPr>
        <w:ind w:left="1240" w:right="160" w:hanging="530"/>
        <w:spacing w:after="0" w:line="276"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an annual levy of LKR500 million (equivalent to approximately US$1.6 million) and a monthly gross collection levy of 18% of the total collections from the business of gaming (exempted if monthly gross collections do not exceed LKR1 million (equivalent to approximately US$3,225)); and</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an annual tax of 45% on the gains and profits generated from the casino to the Inland Revenue Department of Sri Lanka.</w:t>
      </w:r>
    </w:p>
    <w:p>
      <w:pPr>
        <w:spacing w:after="0" w:line="22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There is no assurance that we will be able to continuously comply with all of the requirements under the Sri Lanka License, or that the Sri Lanka License will not be modified to contain more onerous terms or in such other manner that would cause us to lose our Sri Lanka License or otherwise prohibit us from operating the casino at City of Dreams Sri Lanka. If the Sri Lanka License is materially altered or revoked for any reason, including due to any failure by us to comply with its terms, we may be required to cease our casino business operations in Sri Lanka, which could have a material adverse effect on our business, financial conditions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Corporate Structure and Ownership</w:t>
      </w:r>
    </w:p>
    <w:p>
      <w:pPr>
        <w:spacing w:after="0" w:line="116" w:lineRule="exact"/>
        <w:rPr>
          <w:sz w:val="20"/>
          <w:szCs w:val="20"/>
          <w:color w:val="auto"/>
        </w:rPr>
      </w:pPr>
    </w:p>
    <w:p>
      <w:pPr>
        <w:ind w:left="300"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controlling shareholder has a substantial influence over us, and its interests in our business may be different than yours. We have had, and may continue to have, transactions with our controlling shareholder and its affiliates and such transactions may create conflicts of interest between us and our controlling shareholder.</w:t>
      </w:r>
    </w:p>
    <w:p>
      <w:pPr>
        <w:spacing w:after="0" w:line="57"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As of March 6, 2026, Melco International’s beneficial ownership in our Company was approximately 56.32%. There are risks associated with the possibility that Melco International may: (i) have economic or business interests or goals that are inconsistent with ours; (ii) have operations and projects elsewhere in Asia or elsewhere in the world that compete with our businesses in Macau, the Philippines, Cyprus and in other countries and for available resources and management attention; (iii) take actions contrary to our policies or objectives; or (iv) have financial difficulties. In addition, there is no assurance that the laws and regulations relating to foreign investment in Melco International’s governing jurisdictions will not be altered in such a manner as to result in a material adverse effect on our business and operating results.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960"/>
          </w:cols>
          <w:pgMar w:left="320" w:top="472" w:right="6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20" w:firstLine="960"/>
        <w:spacing w:after="0" w:line="266" w:lineRule="auto"/>
        <w:rPr>
          <w:sz w:val="20"/>
          <w:szCs w:val="20"/>
          <w:color w:val="auto"/>
        </w:rPr>
      </w:pPr>
      <w:r>
        <w:rPr>
          <w:rFonts w:ascii="Times New Roman" w:cs="Times New Roman" w:eastAsia="Times New Roman" w:hAnsi="Times New Roman"/>
          <w:sz w:val="17"/>
          <w:szCs w:val="17"/>
          <w:color w:val="auto"/>
        </w:rPr>
        <w:t>In addition, Melco International has the power, among other things, to elect or appoint all of the directors to our board, including our independent directors,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other shareholders and the interests of Melco International may conflict with your interests as minority shareholders.</w:t>
      </w:r>
    </w:p>
    <w:p>
      <w:pPr>
        <w:spacing w:after="0" w:line="171"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We have entered into various related party transactions with Melco International and its affiliates and subsidiaries. For example, we acquired a 75% equity interest in ICR Cyprus from Melco International on July 31, 2019. Prior to this acquisition, we had entered into arrangements with Melco International to provide planning, design, construction and other services to Melco International and its subsidiaries in connection with the City of Dreams Mediterranean project. In August 2022, we repurchased 9,995,799 ordinary shares and 25,000,000 ADSs, collectively representing approximately 5.8% of our Company’s outstanding shares at that time, from Melco Leisure. In March 2023, we repurchased 40,373,076 ordinary shares, representing approximately 3% of our Company’s outstanding shares at that time, from Melco Leisure. Furthermore, Melco International, as licensor, has granted us the license to use certain trademarks in certain territories with a term of 10 years since January 1, 2024 pursuant to a trademark license agreement. We may, from time to time, enter into additional agreements and arrangements with Melco International or its affiliates or subsidiaries in connection with other projects. We may, from time to time, purchase, acquire or invest in other assets, companies or projects held or sponsored by Melco International or its affiliates or subsidiaries or Melco International may make such purchases, acquisitions or investments in assets, companies or projects that our Company holds. The consideration or amount of such purchase, acquisition or investment may be material or significant. While we believe the terms of agreements and arrangements we have with Melco International or its affiliates or subsidiaries are commercially reasonable, the determination of such commercial terms are subject to judgment and estimates and we may have obtained different terms had we entered into such agreements or arrangements with independent third parties.</w:t>
      </w:r>
    </w:p>
    <w:p>
      <w:pPr>
        <w:spacing w:after="0" w:line="284" w:lineRule="exact"/>
        <w:rPr>
          <w:sz w:val="20"/>
          <w:szCs w:val="20"/>
          <w:color w:val="auto"/>
        </w:rPr>
      </w:pPr>
    </w:p>
    <w:p>
      <w:pPr>
        <w:ind w:left="300"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Melco International may pursue additional casino projects in Asia, Europe or elsewhere, which, along with its current operations, may compete with our projects in Macau, the Philippines and Cyprus, which could have material adverse consequences to us and the interests of our minority shareholders.</w:t>
      </w:r>
    </w:p>
    <w:p>
      <w:pPr>
        <w:spacing w:after="0" w:line="57"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Melco International may take action to construct and operate new gaming projects located in other countries in the Asian region, Europe or elsewhere, which, along with its current operations, may compete with our projects in Macau, the Philippines and Cyprus and could have adverse consequences to us and the interests of our minority shareholders. We could face competition from these other gaming projects as well as competition from regional competitors. We expect to continue to receive significant support from Melco International in terms of its local experience, operating skills, international experience and high standards. Should Melco International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the Philippines and/or Cyprus, Melco International may make strategic decisions to focus on their other projects rather than us, which could adversely affect our growth.</w:t>
      </w:r>
    </w:p>
    <w:p>
      <w:pPr>
        <w:spacing w:after="0" w:line="175" w:lineRule="exact"/>
        <w:rPr>
          <w:sz w:val="20"/>
          <w:szCs w:val="20"/>
          <w:color w:val="auto"/>
        </w:rPr>
      </w:pPr>
    </w:p>
    <w:p>
      <w:pPr>
        <w:ind w:left="300" w:right="400" w:firstLine="960"/>
        <w:spacing w:after="0" w:line="276" w:lineRule="auto"/>
        <w:rPr>
          <w:sz w:val="20"/>
          <w:szCs w:val="20"/>
          <w:color w:val="auto"/>
        </w:rPr>
      </w:pPr>
      <w:r>
        <w:rPr>
          <w:rFonts w:ascii="Times New Roman" w:cs="Times New Roman" w:eastAsia="Times New Roman" w:hAnsi="Times New Roman"/>
          <w:sz w:val="17"/>
          <w:szCs w:val="17"/>
          <w:color w:val="auto"/>
        </w:rPr>
        <w:t>Casinos and integrated gaming resorts are becoming increasingly popular in Asia and Europe, giving rise to more opportunities for industry participants and increasing regional competition. We cannot guarantee that Melco International will not make strategic and other decisions which could adversely affect our business.</w:t>
      </w:r>
    </w:p>
    <w:p>
      <w:pPr>
        <w:spacing w:after="0" w:line="263" w:lineRule="exact"/>
        <w:rPr>
          <w:sz w:val="20"/>
          <w:szCs w:val="20"/>
          <w:color w:val="auto"/>
        </w:rPr>
      </w:pPr>
    </w:p>
    <w:p>
      <w:pPr>
        <w:ind w:left="300" w:right="1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Changes in our share ownership, including a change of control of our shares or our subsidiaries’ shares, could result in our subsidiaries’ inability to draw loans or cause events of default under our subsidiaries’ indebtedness, or could require our subsidiaries to prepay or make offers to repurchase certain indebtedness, as well as potentially negatively affect our ability to retain our concession or licenses (as the case may be).</w:t>
      </w:r>
    </w:p>
    <w:p>
      <w:pPr>
        <w:spacing w:after="0" w:line="57"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Credit facility agreements relating to certain of our indebtedness contain change of control provisions, including in respect of ownership over our shares as well as our obligations relating to our control and/or</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960"/>
          </w:cols>
          <w:pgMar w:left="320" w:top="472" w:right="6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4" w:lineRule="auto"/>
        <w:rPr>
          <w:sz w:val="20"/>
          <w:szCs w:val="20"/>
          <w:color w:val="auto"/>
        </w:rPr>
      </w:pPr>
      <w:r>
        <w:rPr>
          <w:rFonts w:ascii="Times New Roman" w:cs="Times New Roman" w:eastAsia="Times New Roman" w:hAnsi="Times New Roman"/>
          <w:sz w:val="17"/>
          <w:szCs w:val="17"/>
          <w:color w:val="auto"/>
        </w:rPr>
        <w:t>ownership of certain of our subsidiaries and their assets. Under the terms of such credit facility agreements, the occurrence of certain change of control events, including a decline below certain thresholds in the aggregate direct or indirect shareholdings of us held by Melco International and the aggregate direct or indirect shareholdings of certain of our subsidiaries held by us or certain of our subsidiaries (as the case may be) may result in an event of default and/or a cancelation of committed amounts as well as a requirement to prepay the credit facilities in relation to such indebtedness in full. Other applicable change of control events under the credit facility agreements include steps being taken in connection with the liquidation or dissolution of certain of our subsidiaries.</w:t>
      </w:r>
    </w:p>
    <w:p>
      <w:pPr>
        <w:spacing w:after="0" w:line="17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 terms of the Studio City Notes and the Melco Resorts Finance Notes also contain change of control provisions whereby the occurrence of a relevant change of control event will require us to offer to repurchase the Studio City Notes or the Melco Resorts Finance Notes (as the case may be) (and, in the case of a change of control event under the Melco Resorts Finance Notes, which is accompanied by a ratings decline) at a price equal to 101% of their principal amount, plus accrued and unpaid interest and, if any, additional amounts and other amounts specified under such indebtedness to the date of repurchase.</w:t>
      </w:r>
    </w:p>
    <w:p>
      <w:pPr>
        <w:spacing w:after="0" w:line="171"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Any occurrence of these events could be outside our control and could result in events of default and cross-defaults which may cause the termination and acceleration of our credit facilities, the Studio City Notes and Melco Resorts Finance Notes and potential enforcement of remedies by our lenders or note holders (as the case may be), which would have a material adverse effect on our financial condition and results of operations. For example, Melco Leisure has pledged 667,360,904 ordinary shares of our Company held by it in connection with a credit facility entered into by, among others, it and Melco International. If they are unable to comply with certain covenants under such credit facility, it could result in the relevant lenders enforcing the pledge, which could result in a change of control in our Company that would trigger the above provisions under our credit facilities, the Studio City Notes and Melco Resorts Finance Notes.</w:t>
      </w:r>
    </w:p>
    <w:p>
      <w:pPr>
        <w:spacing w:after="0" w:line="17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Such a change of control would also potentially adversely affect our ability to retain our concession or licenses. In the event we are unable to retain our concession or licenses, our business, financial condition, cash flows and prospects would be materially and adversely affected, including as a result of the fact that, in such case, an event of default or a mandatory prepayment obligation would arise under certain of our credit facilities and result in the cancelation of committed amounts as well as a requirement to prepay the credit facilities in relation to such indebtedness in full. Furthermore, under the terms of the Studio City Notes and the Melco Resorts Finance Notes, we would also be required to offer to repurchase the Studio City Notes and the Melco Resorts Finance Notes at a price equal to 100% of their principal amount, plus accrued and unpaid interest and, if any, additional amounts and other amounts specified under such indebtedness to the date of repurchase. We may not have sufficient funds to make such payments or be able to refinance such indebtedness or obtain additional debt to satisfy these obligations on acceptable terms, or at all. See also “— We may not be able to generate sufficient cash flow to meet our debt service obligations.”</w:t>
      </w:r>
    </w:p>
    <w:p>
      <w:pPr>
        <w:spacing w:after="0" w:line="278" w:lineRule="exact"/>
        <w:rPr>
          <w:sz w:val="20"/>
          <w:szCs w:val="20"/>
          <w:color w:val="auto"/>
        </w:rPr>
      </w:pPr>
    </w:p>
    <w:p>
      <w:pPr>
        <w:jc w:val="both"/>
        <w:ind w:left="300"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Studio City International may be unable to remain in compliance with the New York Stock Exchange requirements for its continued listing and as a result the SC ADSs may be delisted from trading on the New York Stock Exchange, which could have a material effect on us and the liquidity of the SC ADSs and its Class A ordinary shares.</w:t>
      </w:r>
    </w:p>
    <w:p>
      <w:pPr>
        <w:spacing w:after="0" w:line="57"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Our subsidiary, Studio City International, completed the Studio City IPO in 2018 and its SC ADSs have been listed on the New York Stock Exchange since then. Studio City International has previously received notice from the New York Stock Exchange that it was not in compliance with certain provisions of the New York Stock Exchange Listed Company Manual or the NYSE Manual, including the requirement that the number of total shareholders of Studio City International’s capital stock be no less than 400 shareholders and the number of total shareholders of Studio City International’s capital stock to be no less than 1,200 shareholders if the average monthly volume of its ADSs is less than 100,000 for the most recent 12 months. Studio City International subsequently submitted a business plan to the New York Stock Exchange, which was accepted by the New York Stock Exchange. The New York Stock Exchange subsequently notified Studio City International that it had regained compliance with the applicable continued listing requirements.</w:t>
      </w:r>
    </w:p>
    <w:p>
      <w:pPr>
        <w:spacing w:after="0" w:line="3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960"/>
          </w:cols>
          <w:pgMar w:left="320" w:top="472" w:right="6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cannot assure you that Studio City International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its compliance with the continued listing requirements of the New York Stock Exchange. If Studio City International is delisted from the New York Stock Exchange, the SC ADSs or its ordinary shares may be eligible for trading on an over-the-counter market in the United States. In the event that Studio City International is not able to obtain a listing on another U.S. stock exchange or quotation service for its ADSs, it may be extremely difficult for holders of the SC ADSs and its shareholders to sell their SC ADSs or ordinary shares in Studio City International. Moreover, if the SC ADSs are delisted from the New York Stock Exchange but listed elsewhere, it will likely be on a market with less liquidity and more price volatility than experienced on the New York Stock Exchange. Holders of the SC ADSs and its shareholders may not be able to sell their SC ADSs or ordinary shares in Studio City International on any such substitute market in the quantities, at the times or at the prices that could potentially be available on a more liquid trading market. In addition, following a delisting from the New York Stock Exchange, as direct or indirect holders of 5% or more of Studio City International’s shares are subject to suitability and financial capacity reviews by the DICJ, any direct or indirect sales of SC ADSs or ordinary shares in Studio City International representing 5% or more of its outstanding share capital may require prior approval by the Macau government.</w:t>
      </w: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Financing and Indebtedness</w:t>
      </w:r>
    </w:p>
    <w:p>
      <w:pPr>
        <w:spacing w:after="0" w:line="116" w:lineRule="exact"/>
        <w:rPr>
          <w:sz w:val="20"/>
          <w:szCs w:val="20"/>
          <w:color w:val="auto"/>
        </w:rPr>
      </w:pPr>
    </w:p>
    <w:p>
      <w:pPr>
        <w:ind w:left="300"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current, projected and potential future indebtedness could impair our financial condition, which could further exacerbate the risks associated with our significant leverage.</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incurred and expect to incur, based on current budgets and estimates, secured and unsecured long-term indebtedness.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outstanding indebtedness as of December 31, 2025 includes:</w:t>
      </w:r>
    </w:p>
    <w:p>
      <w:pPr>
        <w:spacing w:after="0" w:line="131" w:lineRule="exact"/>
        <w:rPr>
          <w:sz w:val="20"/>
          <w:szCs w:val="20"/>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HK$6.90 billion (equivalent to US$886.6 million) under the MN1 2020 Revolving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HK$1.0 million (equivalent to US$0.1 million) under the MRM 2015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HK$234.0 million (equivalent to US$30.1 million) under the SCC 2021 Credit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HK$389.0 million (equivalent to US$50.0 million) under the SCC 2024 Revolving Facilities;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US$600.0 million from Melco Resorts Finance’s issuance of the 2027 MRF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US$850.0 million from Melco Resorts Finance’s issuance of the 2028 MRF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US$1.15 billion from Melco Resorts Finance’s issuance of the 2029 MRF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US$750.0 million from Melco Resorts Finance’s issuance of the 2032 MRF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US$500.0 million from Melco Resorts Finance’s issuance of the 2033 MRF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US$500.0 million from Studio City Finance’s issuance of the 2028 SCF Senior Notes;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US$1.10 billion from Studio City Finance’s issuance of the 2029 SCF Senior Notes;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US$350.0 million from Studio City Company’s issuance of the 2027 SCC Senior Secured Notes.</w:t>
      </w:r>
    </w:p>
    <w:p>
      <w:pPr>
        <w:spacing w:after="0" w:line="222" w:lineRule="exact"/>
        <w:rPr>
          <w:rFonts w:ascii="Times New Roman" w:cs="Times New Roman" w:eastAsia="Times New Roman" w:hAnsi="Times New Roman"/>
          <w:sz w:val="17"/>
          <w:szCs w:val="17"/>
          <w:color w:val="auto"/>
        </w:rPr>
      </w:pPr>
    </w:p>
    <w:p>
      <w:pPr>
        <w:ind w:left="1260" w:right="1240"/>
        <w:spacing w:after="0" w:line="4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further indebtedness to finance any future projects or phases of projects, or for general corporate purposes. Our significant indebtedness could have material consequences. For example, it could:</w:t>
      </w:r>
    </w:p>
    <w:p>
      <w:pPr>
        <w:ind w:left="1240" w:hanging="530"/>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difficult for us to satisfy our debt obligations;</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940"/>
          </w:cols>
          <w:pgMar w:left="320" w:top="472"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 including disruptions to global economic conditions;</w:t>
      </w:r>
    </w:p>
    <w:p>
      <w:pPr>
        <w:spacing w:after="0" w:line="131" w:lineRule="exact"/>
        <w:rPr>
          <w:rFonts w:ascii="Times New Roman" w:cs="Times New Roman" w:eastAsia="Times New Roman" w:hAnsi="Times New Roman"/>
          <w:sz w:val="17"/>
          <w:szCs w:val="17"/>
          <w:color w:val="auto"/>
        </w:rPr>
      </w:pPr>
    </w:p>
    <w:p>
      <w:pPr>
        <w:ind w:left="1240" w:right="460" w:hanging="530"/>
        <w:spacing w:after="0" w:line="295"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our ability to obtain additional financing in the future for working capital needs, capital expenditures, acquisitions or general corporate purposes;</w:t>
      </w:r>
    </w:p>
    <w:p>
      <w:pPr>
        <w:spacing w:after="0" w:line="55"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as compared to our competitors, to the extent that they are not as leveraged;</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higher interest expenses in the event of increases in interest rates to the extent a portion of our indebtedness bears interest at variable rates;</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additional expenses by hedging interest rate exposures of our indebtedness and exposure to hedging counterparty failures to pay under such hedging arrangements, which would reduce the funds available to us to fund our operations; and</w:t>
      </w:r>
    </w:p>
    <w:p>
      <w:pPr>
        <w:spacing w:after="0" w:line="55"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we or one of our subsidiaries were to default, result in the loss of all or a substantial portion of our and/or our subsidiaries’ assets over which our creditors have taken or will take security.</w:t>
      </w:r>
    </w:p>
    <w:p>
      <w:pPr>
        <w:spacing w:after="0" w:line="146"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above or other consequences or events could have a material adverse effect on our ability to satisfy our other obligations.</w:t>
      </w:r>
    </w:p>
    <w:p>
      <w:pPr>
        <w:spacing w:after="0" w:line="323" w:lineRule="exact"/>
        <w:rPr>
          <w:sz w:val="20"/>
          <w:szCs w:val="20"/>
          <w:color w:val="auto"/>
        </w:rPr>
      </w:pPr>
    </w:p>
    <w:p>
      <w:pPr>
        <w:ind w:left="3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require additional financing to complete our investment projects or in our business operations, which may not be available on satisfactory terms or at all.</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We have funded our capital investment projects through, among others, cash generated from our operations, credit facilities, issuance of debt securities and equity financings. For example, we used such capital resources to fund the development of the remaining land for our Studio City development project, and we may require additional financing in the future for our capital investment projects, which we may raise through debt or equity financing. In connection with the Concession Contract, Melco Resorts Macau committed to an overall investment of MOP11,823.7 million (equivalent to approximately US$1.48 billion) and incremental additional non-gaming investment in the amount of approximately 20% of its initial non-gaming investment, or MOP2,003.0 million (equivalent to approximately US$249.9 million), in the event Macau’s annual gross gaming revenue reaches MOP180.0 billion (equivalent to approximately US$22.46 billion) (“Incremental Investment Trigger”). As Macau’s annual gross gaming revenue exceeded MOP180.0 billion (equivalent to approximately US$22.46 billion) in 2023, the Incremental Investment Trigger was triggered in 2023, thereby increasing Melco Resorts Macau’s non-gaming investment by MOP2,003.0 million (equivalent to approximately US$249.9 million), with the overall investment amount increased to MOP13,826.7 million (equivalent to approximately US$1.73 billion) to be carried out by December 2032. As of December 31, 2025, the total investment in gaming and non-gaming related projects carried out was in the aggregate amount of MOP5,724.2 million (equivalent to approximately US$714.2 million). We may also require additional financing in the future to fund our business operations. We may be required to obtain approval from, or consent of, or notify relevant government authorities or third parties in order to enter into such financings. There are no assurances that we would be able to obtain any required approval or consent from the relevant government authorities or third parties with respect to such financing in a timely manner or at all.</w:t>
      </w:r>
    </w:p>
    <w:p>
      <w:pPr>
        <w:spacing w:after="0" w:line="181"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Any financing related to the above may also be subject to, among others, the terms of credit facilities, the Melco Resorts Finance Notes and the Studio City Notes and any future financings. In addition, our ability to</w:t>
      </w:r>
    </w:p>
    <w:p>
      <w:pPr>
        <w:spacing w:after="0" w:line="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880"/>
          </w:cols>
          <w:pgMar w:left="320" w:top="472" w:right="6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59" w:lineRule="auto"/>
        <w:rPr>
          <w:sz w:val="20"/>
          <w:szCs w:val="20"/>
          <w:color w:val="auto"/>
        </w:rPr>
      </w:pPr>
      <w:r>
        <w:rPr>
          <w:rFonts w:ascii="Times New Roman" w:cs="Times New Roman" w:eastAsia="Times New Roman" w:hAnsi="Times New Roman"/>
          <w:sz w:val="17"/>
          <w:szCs w:val="17"/>
          <w:color w:val="auto"/>
        </w:rPr>
        <w:t>obtain debt or equity financing on acceptable terms depends on a variety of factors that are beyond our control, including market conditions, investors’ and lenders’ perceptions of, and demand for, debt and equity securities of gaming companies and interest rates. Although many economies have started reducing interest rates, the direction of global policies remain uncertain Since 2022, continued stress in China’s property sector and a weaker, uneven post-pandemic economic recovery have weighed on risk sentiment towards China-linked U.S. dollar high-yield credit more broadly. This has at times contributed to wider spreads and weaker secondary-market performance for high-yield bonds of issuers in other sectors connected with China, including those issued by Macau gaming operators and associated entities. As a result, we cannot assure you that we will be able to obtain sufficient financing on terms satisfactory to us, or at all, to finance our capital investment projects. If we are unable to obtain such funding, our business, cash flow, financial condition, results of operations and prospects could be materially and adversely affected. We may, from time to time, seek to obtain new financings or refinance our outstanding debt through international markets. Any such financing or refinancing, and our evaluation thereof, will depend on the prevailing market conditions, our liquidity requirements, contractual restrictions and other factors. The amounts involved may be material. See “Item 3. Key Information — D. Risk Factors — Risks Relating to Operating in the Gaming Industry in Macau — Our business and operations in Macau are dependent upon our concession and, if we fail to comply with the complex legal and regulatory regime in Macau, our concession may be subject to revocation,” “Item 3. Key Information — D. Risk Factors — Risks Relating to Our Financing and Indebtedness — Any inability to maintain current financing or obtain future financing could result in delays in our project development schedule and could impact our ability to comply with the terms of the Concession Contract and generate revenues from operations at our present and future projects” and “Item 4. Information on the Company — B. Business Overview — Regulations — Gaming Licenses — The Concession Contract in Macau.”</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flow to meet our debt service obligations.</w:t>
      </w:r>
    </w:p>
    <w:p>
      <w:pPr>
        <w:spacing w:after="0" w:line="122"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Our ability to make scheduled payments due on our existing and anticipated indebtedness obligations, including our credit facilities, the Melco Resorts Finance Notes and Studio City Notes, to refinance and to fund working capital needs, planned capital expenditures and development efforts will depend on our ability to generate cash. We must generate sufficient operating cash flow from our projects to service our current and future projected indebtedness. Our ability to obtain cash to service our existing and projected debt is subject to a range of economic, financial, competitive, legislative, regulatory, business and other factors, many of which are beyond our control, including:</w:t>
      </w:r>
    </w:p>
    <w:p>
      <w:pPr>
        <w:spacing w:after="0" w:line="80" w:lineRule="exact"/>
        <w:rPr>
          <w:sz w:val="20"/>
          <w:szCs w:val="20"/>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performance;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services that we provide;</w:t>
      </w:r>
    </w:p>
    <w:p>
      <w:pPr>
        <w:spacing w:after="0" w:line="131"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economic conditions affecting China, the Philippines, Cyprus or the gaming industry in particular, including market conditions such as increases in inflation and other global economic, political and social conditions;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employees and management at a reasonable cost;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factors affecting our operations and business.</w:t>
      </w:r>
    </w:p>
    <w:p>
      <w:pPr>
        <w:spacing w:after="0" w:line="22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may not be able to generate sufficient cash flow from operations to satisfy our existing and projected indebtedness obligations or our other liquidity needs, in which case we may have to seek additional borrowings or undertake alternative financing plans, such as refinancing or restructuring our indebtedness, selling assets, reducing or delaying capital investments or seek to raise additional capital on terms that may be onerous or highly dilutive, any of which could have a material adverse effect on our operations.</w:t>
      </w:r>
    </w:p>
    <w:p>
      <w:pPr>
        <w:spacing w:after="0" w:line="169"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Our ability to incur additional borrowings or refinance our indebtedness, including our credit facilities, the Melco Resorts Finance Notes and Studio City Notes, will depend on the condition of the financing and capital</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940"/>
          </w:cols>
          <w:pgMar w:left="320" w:top="472"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markets, our financial condition at such time and potentially governmental approval. We cannot assure you that any additional borrowing, refinancing or restructuring would be possible or that any assets could be sold or, if sold, the timing of any sale or the amount of proceeds that would be realized from any such sale. We cannot assure you that additional financing could be obtained on acceptable terms, if at all, or would be permitted under the terms of our various debt instruments then in effect, including the indentures governing the Melco Resorts Finance Notes and Studio City Notes.</w:t>
      </w:r>
    </w:p>
    <w:p>
      <w:pPr>
        <w:spacing w:after="0" w:line="169" w:lineRule="exact"/>
        <w:rPr>
          <w:sz w:val="20"/>
          <w:szCs w:val="20"/>
          <w:color w:val="auto"/>
        </w:rPr>
      </w:pPr>
    </w:p>
    <w:p>
      <w:pPr>
        <w:ind w:left="300" w:right="280" w:firstLine="960"/>
        <w:spacing w:after="0" w:line="266" w:lineRule="auto"/>
        <w:rPr>
          <w:sz w:val="20"/>
          <w:szCs w:val="20"/>
          <w:color w:val="auto"/>
        </w:rPr>
      </w:pPr>
      <w:r>
        <w:rPr>
          <w:rFonts w:ascii="Times New Roman" w:cs="Times New Roman" w:eastAsia="Times New Roman" w:hAnsi="Times New Roman"/>
          <w:sz w:val="17"/>
          <w:szCs w:val="17"/>
          <w:color w:val="auto"/>
        </w:rPr>
        <w:t>In addition, any failure to make scheduled payments of interest or principal on our outstanding indebtedness would likely result in a reduction of our credit rating and constitute an event of default, which would harm our ability to incur additional indebtedness on commercially reasonable terms or at all. Our failure to generate sufficient cash flow to satisfy our existing and projected indebtedness obligations or other liquidity needs, or to refinance our obligations on commercially acceptable terms or at all, could have a material adverse effect on our business, financial condition and results of operations.</w:t>
      </w:r>
    </w:p>
    <w:p>
      <w:pPr>
        <w:spacing w:after="0" w:line="272" w:lineRule="exact"/>
        <w:rPr>
          <w:sz w:val="20"/>
          <w:szCs w:val="20"/>
          <w:color w:val="auto"/>
        </w:rPr>
      </w:pPr>
    </w:p>
    <w:p>
      <w:pPr>
        <w:ind w:left="300" w:right="1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w:t>
      </w:r>
    </w:p>
    <w:p>
      <w:pPr>
        <w:spacing w:after="0" w:line="57"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The agreements governing our credit facilities and debt instruments contain restrictions on our ability to engage in certain transactions and may limit our ability to respond to changing business and economic conditions, including regulatory changes, or otherwise take actions that may be in our best interests. Certain of these agreements have restrictions that include, among other things, limitations on our ability and the ability of our restricted subsidiaries or other members of our obligor group to do some or all of the following:</w:t>
      </w:r>
    </w:p>
    <w:p>
      <w:pPr>
        <w:spacing w:after="0" w:line="78" w:lineRule="exact"/>
        <w:rPr>
          <w:sz w:val="20"/>
          <w:szCs w:val="20"/>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distributions or repurchase equity;</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debt, including guarantees;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on assets to secure debt;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of subsidiaries;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sale-leaseback transactions;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other businesses;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with another company;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a change of control;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sell or otherwise dispose of assets;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disqualified stock;</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dividend and other payment restrictions affecting subsidiaries;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restricted and unrestricted subsidiaries; and</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 Melco Resorts Macau’s Concession Contract or Melco Resorts Macau’s and certain of its subsidiaries’ land concessions and certain other contracts.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920"/>
          </w:cols>
          <w:pgMar w:left="320" w:top="472" w:right="6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Certain of our credit facilities and debt instruments also require us to satisfy various financial covenants, which include requirements for minimum interest coverage ratio and leverage ratios. For more information on financial covenants we are subject to under our credit facilities and debt instruments, see note 10 to the consolidated financial statements included elsewhere in this annual report. Future indebtedness or other agreements may contain covenants more restrictive than those contained in our existing credit facilities and debt instruments. In addition, we may also rely on waivers given by lenders in respect of certain terms and covenants under the facilities from time to time. For example, on August 16, 2022, MCO Nominee One received confirmation that the majority of lenders of the MN1 2020 Revolving Facilities have consented and agreed to a waiver extension of certain financial condition covenants contained in the facility agreement under the MN1 2020 Revolving Facilities such as (i) to meet or exceed the interest cover ratio, (ii) not to exceed the senior leverage ratio, and (iii) not to exceed the total leverage ratio. MCO Nominee One paid a customary fee to all consenting lenders in relation to such consent. There is no assurance that we will be successful in any future attempts to obtain consents or waivers of terms and conditions under any of the facilities from any lender on terms that are acceptable to us or at all.</w:t>
      </w:r>
    </w:p>
    <w:p>
      <w:pPr>
        <w:spacing w:after="0" w:line="174"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In addition, certain of our indebtedness is secured by mortgages, assignment of land use rights, leases or equivalents, security over shares, charges over bank accounts, security over assets and other customary security over the assets of our Macau subsidiaries. In the event of a default under such agreements governing our existing indebtedness, the holders of such secured indebtedness would first be entitled to payment from their collateral security, and only then would holders of our Macau subsidiaries’ unsecured debt be entitled to payment from their remaining assets.</w:t>
      </w:r>
    </w:p>
    <w:p>
      <w:pPr>
        <w:spacing w:after="0" w:line="169"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ability to comply with the terms of our outstanding credit facilities and debt instruments may be affected by general economic conditions, industry conditions and other events outside of our control. As a result, we may not be able to maintain compliance with these covenants. In addition, if our properties’ operations fail to generate adequate cash flow, we may breach these covenants, causing a default under our agreements, upon which creditors could terminate their commitments to lend to us, accelerate repayment of the debt and declare all amounts borrowed due and payable or terminate the agreements, as the case may be. Furthermore, our credit facilities and debt instruments contain cross-acceleration or cross-default provisions, as a result of which our default under one facility or instrument may cause the acceleration of repayment of debt or result in a default under our other facilities or instruments. If any of these events occur, we cannot assure you that our assets and cash flow would be sufficient to repay in full all of our indebtedness, or that we would be able to find alternative financing. Even if we do obtain alternative financing, we cannot assure you that it would be on terms that are favorable or acceptable to us.</w:t>
      </w:r>
    </w:p>
    <w:p>
      <w:pPr>
        <w:spacing w:after="0" w:line="278" w:lineRule="exact"/>
        <w:rPr>
          <w:sz w:val="20"/>
          <w:szCs w:val="20"/>
          <w:color w:val="auto"/>
        </w:rPr>
      </w:pPr>
    </w:p>
    <w:p>
      <w:pPr>
        <w:ind w:left="300" w:right="1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Drawdown or rollover of advances under our credit facilities involve satisfaction of extensive conditions precedent and our failure to satisfy such conditions precedent will result in our inability to utilize or roll over loan advances under such facilities. There is no assurance that we will be able to satisfy all conditions precedent under our current or future credit facilities.</w:t>
      </w:r>
    </w:p>
    <w:p>
      <w:pPr>
        <w:spacing w:after="0" w:line="57"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current and future credit facilities, including the MRM 2015 Credit Facilities, the MN1 2020 Revolving Facilities, the SCC 2021 Credit Facilities and the SCC 2024 Revolving Facilities, require and will require satisfaction of extensive conditions precedent prior to the advance or rollover of loans under such facilities. If there is a breach of any terms or conditions of our credit facilities or other obligations and the breach is not cured or capable of being cured, or if we are unable to make certain representations, then such conditions precedent will not be satisfied. Our ability to satisfy such conditions precedent may also be affected by the actions of third parties and/or matters outside of our control, such as government consents and approvals and market conditions, and thus also result in our inability to satisfy any conditions precedent. We may also rely on waivers given by lenders to waive satisfaction of certain conditions precedent under the facilities from time to time. There is no assurance that we will be successful in any future attempts to obtain consents or waivers of terms and conditions under any of the facilities from any lender on terms that are acceptable to us or at all. The inability to draw down or roll over loan advances under any credit facility may result in a funding shortfall in our</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920"/>
          </w:cols>
          <w:pgMar w:left="320" w:top="472" w:right="6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0"/>
        <w:spacing w:after="0" w:line="262" w:lineRule="auto"/>
        <w:rPr>
          <w:sz w:val="20"/>
          <w:szCs w:val="20"/>
          <w:color w:val="auto"/>
        </w:rPr>
      </w:pPr>
      <w:r>
        <w:rPr>
          <w:rFonts w:ascii="Times New Roman" w:cs="Times New Roman" w:eastAsia="Times New Roman" w:hAnsi="Times New Roman"/>
          <w:sz w:val="17"/>
          <w:szCs w:val="17"/>
          <w:color w:val="auto"/>
        </w:rPr>
        <w:t>operations and we may not be able to fulfill our obligations as planned. Such events may also result in an event of default under the respective credit facility and may also trigger cross-defaults under our other indebtedness obligations. There can be no assurance that all conditions precedent to draw down or roll over loan advances under our credit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harm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200" w:lineRule="exact"/>
        <w:rPr>
          <w:sz w:val="20"/>
          <w:szCs w:val="20"/>
          <w:color w:val="auto"/>
        </w:rPr>
      </w:pPr>
    </w:p>
    <w:p>
      <w:pPr>
        <w:spacing w:after="0" w:line="289"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inability to maintain current financing or obtain future financing could result in delays in our project development schedule and could impact our ability to comply with the terms of the Concession Contract and generate revenues from operations at our present and future projects.</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If we are unable to maintain our current financing arrangements or obtain suitable financing for our operations and our current or future projects (including any acquisitions we may make), such failure could adversely impact our compliance with our Concession Contract, our existing operations, or cause delays in, or prevent completion of, the development of any current or future projects. In connection with the Concession Contract, Melco Resorts Macau committed to an overall investment of MOP11,823.7 million (equivalent to approximately US$1.48 billion) and incremental additional non-gaming investment in the amount of approximately 20% of its initial non-gaming investment, or MOP2,003.0 million (equivalent to approximately US$249.9 million), in the event Macau’s annual gross gaming revenue reaches MOP180.0 billion (equivalent to approximately US$22.46 billion). As Macau’s annual gross gaming revenue exceeded MOP180.0 billion (equivalent to approximately US$22.46 billion) in 2023, the Incremental Investment Trigger was triggered in 2023, thereby increasing Melco Resorts Macau’s non-gaming investment by MOP2,003.0 million (equivalent to approximately US$249.9 million), with the overall investment amount increased to MOP13,826.7 million (equivalent to approximately US$1.73 billion) to be carried out by December 2032. As of December 31, 2025, the total investment in gaming and non-gaming related projects carried out was in the aggregate amount of MOP5,724.2 million (equivalent to approximately US$714.2 million). Any inability to obtain suitable financing, if required, may cause us to fail to comply with the terms of our Concession Contract, the harshest penalty of which for any non-compliance that may be imposed on us is revocation of the Concession Contract. See “Item 3. Key Information — D. Risk Factors — Risks Relating to Operating in the Gaming Industry in Macau — Our business and operations in Macau are dependent upon our concession and, if we fail to comply with the complex legal and regulatory regime in Macau, our concession may be subject to revocation” and “Item 4. Information on the Company — B. Business Overview — Regulations — Gaming Licenses — The Concession Contract in Macau.”</w:t>
      </w:r>
    </w:p>
    <w:p>
      <w:pPr>
        <w:spacing w:after="0" w:line="179"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In addition, such failure may also limit our ability to operate and expand our business and may adversely impact our ability to generate revenue. Furthermore, the costs incurred by any new financing may be greater than anticipated due to unfavorable market conditions. Any such increase in funding costs may have a negative impact on our revenue and financial condition.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Shares and ADSs</w:t>
      </w:r>
    </w:p>
    <w:p>
      <w:pPr>
        <w:spacing w:after="0" w:line="116" w:lineRule="exact"/>
        <w:rPr>
          <w:sz w:val="20"/>
          <w:szCs w:val="20"/>
          <w:color w:val="auto"/>
        </w:rPr>
      </w:pPr>
    </w:p>
    <w:p>
      <w:pPr>
        <w:ind w:left="30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ADSs has been volatile since our ADSs began trading on Nasdaq and may be subject to fluctuations in the future, which could result in substantial losses to investors.</w:t>
      </w:r>
    </w:p>
    <w:p>
      <w:pPr>
        <w:spacing w:after="0" w:line="38"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trading price of our ADSs has been and may continue to be subject to wide fluctuations. Our ADSs were first quoted on the Nasdaq Global Market beginning on December 19, 2006, and were upgraded to trade on the Nasdaq Global Select Market, or the Nasdaq, since January 2, 2009. During the period from December 19, 2006 to March 6, 2026, the trading prices of our ADSs ranged from US$2.27 to US$45.70 per ADS and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940"/>
          </w:cols>
          <w:pgMar w:left="320" w:top="472"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00"/>
        <w:spacing w:after="0" w:line="295" w:lineRule="auto"/>
        <w:rPr>
          <w:sz w:val="20"/>
          <w:szCs w:val="20"/>
          <w:color w:val="auto"/>
        </w:rPr>
      </w:pPr>
      <w:r>
        <w:rPr>
          <w:rFonts w:ascii="Times New Roman" w:cs="Times New Roman" w:eastAsia="Times New Roman" w:hAnsi="Times New Roman"/>
          <w:sz w:val="17"/>
          <w:szCs w:val="17"/>
          <w:color w:val="auto"/>
        </w:rPr>
        <w:t>closing sale price on March 6, 2026 was US$5.58 per ADS. The market price for our shares and ADSs may continue to be volatile and subject to wide fluctuations in response to factors, including the following:</w:t>
      </w:r>
    </w:p>
    <w:p>
      <w:pPr>
        <w:spacing w:after="0" w:line="55" w:lineRule="exact"/>
        <w:rPr>
          <w:sz w:val="20"/>
          <w:szCs w:val="20"/>
          <w:color w:val="auto"/>
        </w:rPr>
      </w:pPr>
    </w:p>
    <w:p>
      <w:pPr>
        <w:ind w:left="1240" w:right="440" w:hanging="530"/>
        <w:spacing w:after="0" w:line="29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political tensions, including between China and the U.S., and policies and/or legislation which may be proposed and/or enacted in relation to such tensions;</w:t>
      </w:r>
    </w:p>
    <w:p>
      <w:pPr>
        <w:spacing w:after="0" w:line="55" w:lineRule="exact"/>
        <w:rPr>
          <w:rFonts w:ascii="Times New Roman" w:cs="Times New Roman" w:eastAsia="Times New Roman" w:hAnsi="Times New Roman"/>
          <w:sz w:val="17"/>
          <w:szCs w:val="17"/>
          <w:color w:val="auto"/>
        </w:rPr>
      </w:pPr>
    </w:p>
    <w:p>
      <w:pPr>
        <w:jc w:val="both"/>
        <w:ind w:left="1240" w:right="400" w:hanging="530"/>
        <w:spacing w:after="0" w:line="276"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the Macau market, the Philippine market, the Cyprus market or other Asian or European gaming markets, including disruptions caused by widespread health epidemics or pandemics and the announcement or completion of major new projects by our competitors;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or delays relating to the financing, completion and successful operation of our projects;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or other factors that affect the region where our properties are located and/or the macroeconomic environment, including any global pandemics or other crises;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us or our competitors;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operating results;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investments, acquisitions, strategic partnerships, joint ventures or divestments by us or our competitors;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performance and value of our investments;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research analysts;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other gaming and leisure industry companies;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market share of the Macau, Philippine and/or Cyprus gaming markets;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adverse publicity about us, our properties or our industries;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 or departure of our executive officers and key personnel;</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exchange rates between the U.S. dollar, H.K. dollar, Pataca, Renminbi, Euro, the Philippine peso and the Sri Lankan rupee;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or expiration of lock-up or other transfer restrictions on our outstanding shares or ADSs;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perceived sales of additional shares or ADSs or securities convertible or exchangeable or exercisable for shares or ADSs;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or regulatory investigations;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related to any of the above, irrespective of their veracity.</w:t>
      </w:r>
    </w:p>
    <w:p>
      <w:pPr>
        <w:spacing w:after="0" w:line="223"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In addition, the securities market has from time to time experienced significant price and volume fluctuations that are not related to the operating performance of particular companies. For example, in connection with COVID-19 outbreaks, securities markets across the globe have experienced significant volatility. These market fluctuations may also have a material adverse effect on the market price of our ADSs. In addition, we are a Cayman Islands holding company and not a mainland China operating company and investors may never directly hold equity interests in our operating subsidiaries. This organizational structure involves unique risks to investors, including the possibility of PRC or Macau regulatory authorities disallowing our organizational structure, which would likely result in a material change in our operations and/or value of our ADSs making them significantly decline or worthless.</w:t>
      </w:r>
    </w:p>
    <w:p>
      <w:pPr>
        <w:spacing w:after="0" w:line="17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880"/>
          </w:cols>
          <w:pgMar w:left="320" w:top="472" w:right="6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3" w:lineRule="auto"/>
        <w:rPr>
          <w:sz w:val="20"/>
          <w:szCs w:val="20"/>
          <w:color w:val="auto"/>
        </w:rPr>
      </w:pPr>
      <w:r>
        <w:rPr>
          <w:rFonts w:ascii="Times New Roman" w:cs="Times New Roman" w:eastAsia="Times New Roman" w:hAnsi="Times New Roman"/>
          <w:sz w:val="17"/>
          <w:szCs w:val="17"/>
          <w:color w:val="auto"/>
        </w:rPr>
        <w:t>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In addition, as a company listed on Nasdaq, we are subject to certain rules and requirements implemented by Nasdaq. The rules of Nasdaq impose various continued listing requirements. We cannot assure you that we can or will continually adhere to all of such requirements, including those required to maintain our listing on Nasdaq. Any failure to adhere to the applicable requirements could result in costs, penalties, administrative remedies or other consequences, any of which may result in a material adverse effect on our business, prospects, results of operations and financial condition.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cannot assure you that we will make dividend payments in the future.</w:t>
      </w:r>
    </w:p>
    <w:p>
      <w:pPr>
        <w:spacing w:after="0" w:line="122" w:lineRule="exact"/>
        <w:rPr>
          <w:sz w:val="20"/>
          <w:szCs w:val="20"/>
          <w:color w:val="auto"/>
        </w:rPr>
      </w:pPr>
    </w:p>
    <w:p>
      <w:pPr>
        <w:ind w:left="300" w:right="60" w:firstLine="960"/>
        <w:spacing w:after="0" w:line="259" w:lineRule="auto"/>
        <w:rPr>
          <w:sz w:val="20"/>
          <w:szCs w:val="20"/>
          <w:color w:val="auto"/>
        </w:rPr>
      </w:pPr>
      <w:r>
        <w:rPr>
          <w:rFonts w:ascii="Times New Roman" w:cs="Times New Roman" w:eastAsia="Times New Roman" w:hAnsi="Times New Roman"/>
          <w:sz w:val="17"/>
          <w:szCs w:val="17"/>
          <w:color w:val="auto"/>
        </w:rPr>
        <w:t>On May 14, 2020, we announced the suspension of the Company’s quarterly dividend program to preserve liquidity in light of COVID-19 outbreaks and to continue investing in our business. We cannot assure you that we will resume the Company’s quarterly dividend program or make any dividend payments on our shares in the future. Dividend payments will depend upon a number of factors, including the operating environment, our results of operations, earnings, capital requirements and surplus, general financial conditions, contractual restrictions and other factors considered relevant by our board. Except as permitted under the Companies Act (as amended) of the Cayman Islands,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MRM 2015 Credit Facilities, the MN1 2020 Revolving Facilities, the Studio City Notes, the SCC 2021 Credit Facilities, the SCC 2024 Revolving Facilities and other agreements governing indebtedness we and our subsidiaries may incur. Such restrictive covenants contained in the MRM 2015 Credit Facilities and the MN1 2020 Revolving Facilities include satisfaction of certain financial tests and conditions such as continued compliance with specified interest cover, cash cover and leverage ratios. The Studio City Notes, SCC 2021 Credit Facilities and SCC 2024 Revolving Facilities also contain certain covenants restricting payment of dividends by Studio City Finance and its subsidiaries, respectively. For more details, see “Item 5. Operating and Financial Review and Prospects — B. Liquidity and Capital Resources — Indebtedness.”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Substantial sales or perceived sales of our shares or ADSs in the public market could cause the price of our ADSs and shares to decline.</w:t>
      </w:r>
    </w:p>
    <w:p>
      <w:pPr>
        <w:spacing w:after="0" w:line="12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Sales of our ADSs or shares in the public market, or the perception that these sales could occur, could cause the market price of our shares and ADSs to decline. There is no assurance that Melco International will not sell all or a part of its ownership interest in us. Any sale of their interest may be subject to volume and other restrictions, as applicable, under Rule 144 under the Securities Act of 1933, or the Securities Act.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 In addition, Melco International has the right to cause us to register the sale of their shares under the Securities Act, subject to the terms of the registration rights agreement. Registration of these shares under the Securities Act would result in these shares becoming eligible for deposit in exchange for freely tradable ADSs without restriction under the Securities Act immediately upon the effectiveness of the registration statement. Sales of these registered shares in the public market could cause the price of our share and ADSs to decline.</w:t>
      </w:r>
    </w:p>
    <w:p>
      <w:pPr>
        <w:spacing w:after="0" w:line="387"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Any decision by us to issue or raise further equity, which would result in dilution to existing shareholders, could cause the price of our ADSs and shares to decline.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940"/>
          </w:cols>
          <w:pgMar w:left="320" w:top="472"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38"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Techniques employed by short sellers may drive down the market price of our ADSs.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3"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71"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Holders of ADSs have fewer rights than shareholders and must act through the depositary to exercise those rights.</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Holders of ADSs do not have the same rights of our shareholders and may only exercise the voting rights with respect to the underlying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960"/>
          </w:cols>
          <w:pgMar w:left="320" w:top="472" w:right="6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limitations on transfers of your ADSs.</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72"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38"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274" w:lineRule="exact"/>
        <w:rPr>
          <w:sz w:val="20"/>
          <w:szCs w:val="20"/>
          <w:color w:val="auto"/>
        </w:rPr>
      </w:pPr>
    </w:p>
    <w:p>
      <w:pPr>
        <w:ind w:left="30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Our corporate affairs are governed by our memorandum and articles of association, the Companies Act (as amended)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940"/>
          </w:cols>
          <w:pgMar w:left="320" w:top="472"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Shareholders of Cayman Islands exempted companies like us have no general rights under Cayman Islands law to inspect corporate records (other than the memorandum and articles of association, a list of the current directors and the register of mortgages and charges)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You may have difficulty enforcing judgments obtained against us.</w:t>
      </w:r>
    </w:p>
    <w:p>
      <w:pPr>
        <w:spacing w:after="0" w:line="122"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We are a Cayman Islands exempted company and substantially all of our assets are located outside of the United States. All of our current operations, and administrative and corporate functions are conducted in Macau, Hong Kong, Singapore, the Philippines, Cyprus and Sri Lanka. In addition, substantially all of our directors and officers are nationals and residents of countries other than the United States. A substantial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Galante, spend a significant amount of time physically located in Hong Kong and/or Macau, and it will be more difficult to enforce liabilities and enforce judgments on those individuals.</w:t>
      </w:r>
    </w:p>
    <w:p>
      <w:pPr>
        <w:spacing w:after="0" w:line="175"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It may also be difficult for you to enforce in the Cayman Islands, Macau, Hong Kong, Singapore, the Philippines, Cyprus or Sri Lanka courts judgments obtained in U.S. courts based on the civil liability provisions of the U.S. federal securities laws against us and our officers and directors, most of whom are not residents in the United States and the substantial portion of whose assets are located outside of the United States.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74"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In addition, there is uncertainty as to whether the courts of the Cayman Islands, Macau, Hong Kong, Singapore, the Philippines, Cyprus or Sri Lanka would recognize or enforce judgments of U.S. courts against us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920"/>
          </w:cols>
          <w:pgMar w:left="320" w:top="472" w:right="6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or such persons predicated upon the civil liability provisions of the securities laws of the United States or any state. In addition, it is uncertain whether such Cayman Islands, Macau, Hong Kong, Singapore, Philippines, Cyprus or Sri Lanka courts would be competent to hear original actions brought in the Cayman Islands, Macau, Hong Kong, Singapore, the Philippines, Cyprus or Sri Lanka against us or such persons predicated upon the securities laws of the United States or any state.</w:t>
      </w:r>
    </w:p>
    <w:p>
      <w:pPr>
        <w:spacing w:after="0" w:line="270" w:lineRule="exact"/>
        <w:rPr>
          <w:sz w:val="20"/>
          <w:szCs w:val="20"/>
          <w:color w:val="auto"/>
        </w:rPr>
      </w:pPr>
    </w:p>
    <w:p>
      <w:pPr>
        <w:ind w:left="300"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38"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color w:val="auto"/>
        </w:rPr>
        <w:t>Based on the current market price of our ADSs and ordinary shares, and the composition of our income, assets and operations, we do not believe we were a passive foreign investment company, or PFIC, for our taxable year ended December 31, 2025.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(as defined in the relevant provisions of the Internal Revenue Code of 1986, as amended) or (ii) at least 50% of the value of its assets (generally based on a quarterly average) during such year is attributable to assets that produce passive income or are held for the production of passive income. For these purposes, cash and other assets readily convertible into cash are categorized as passive assets, and the company’s goodwill and other unbooked intangibles are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more than 25% (by value) of the stock. A separate determination must be made after the close of each taxable year as to whether we were a PFIC for that year. Because the value of our assets, including the value of our goodwill and unbooked intangibles,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and will become subject to potentially burdensome reporting requirements. U.S. Holders should consult their tax advisers regarding the application of these rules. See “Item 10. Additional Information — E. Taxation — United States Federal Income Taxation — Passive Foreign Investment Company.”</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relating to multinational corporations could adversely affect our tax position.</w:t>
      </w:r>
    </w:p>
    <w:p>
      <w:pPr>
        <w:spacing w:after="0" w:line="12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Global Anti-Base Erosion Model Rules (“Pillar Two”), among other things, introduced a global minimum tax. On October 10, 2021, 137 member jurisdictions of the G20/OECD Inclusive Framework on BEPS (including Israel) joined the “Statement on a Two-Pillar Solution to Address the Tax Challenges Arising from the</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920"/>
          </w:cols>
          <w:pgMar w:left="320" w:top="472" w:right="6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Digitalisation of the Economy” which sets forth the key terms of such two-pillar solution, including a reallocation of taxing rights among market jurisdictions under Pillar One and a global minimum tax rate of 15% under Pillar Two. On December 20, 2021, the OECD published model rules to implement the Pillar Two rules and released commentary to the Pillar Two model rules in March 2022 and published administrative guidance in 2023, 2024 and 2025. The model rules and commentary allow the OECD’s Inclusive Framework of over 140 members to begin implementing the Pillar Two rules in accordance with the agreement reached in October 2021. Pillar Two has been enacted in certain jurisdictions where we operate and the timing and ultimate impact of additional enactments and implementation on our tax obligations is uncertain. These changes, when enacted, by various countries in which we do business may increase our taxes in these countries in the future. The foregoing tax changes and other possible future tax changes may have an adverse impact on us, our business, financial condition, results of operations and cash flow.</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920"/>
          </w:cols>
          <w:pgMar w:left="320" w:top="472" w:right="6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3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120"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Our Company was incorporated in December 2004 as an exempted company with limited liability under the Companies Act (as amended) of the Cayman Islands. Our subsidiary Melco Resorts Macau is one of six companies licensed, through concession, to operate casinos in Macau. For more information on our corporate structure, see “— C. Organizational Structure.”</w:t>
      </w:r>
    </w:p>
    <w:p>
      <w:pPr>
        <w:spacing w:after="0" w:line="162"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In December 2006, we completed the initial public offering of our ADSs, each of which represents three ordinary shares, and listed our ADSs on the Nasdaq under the symbol “MPEL.”</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May 2008, we changed our name from Melco PBL Entertainment (Macau) Limited to Melco Crown Entertainment Limited.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January 2009, we were upgraded to trade on the Nasdaq Global Select Market.</w:t>
      </w:r>
    </w:p>
    <w:p>
      <w:pPr>
        <w:spacing w:after="0" w:line="223"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On July 27, 2011, we acquired a 60% equity interest in SCI, the developer of Studio City. Studio City is a large-scale cinematically-themed integrated resort developed in Macau.</w:t>
      </w:r>
    </w:p>
    <w:p>
      <w:pPr>
        <w:spacing w:after="0" w:line="147"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On December 19, 2012, we completed the acquisition of a majority interest in the issued share capital of MRP, a company then listed on The Philippine Stock Exchange, Inc. (the “Philippine Stock Exchange”). Following the completion of our acquisition of MRP, we transferred our 100% equity interest in Melco Resorts Leisure to MRP in March 2013. Melco Resorts Leisure has been granted the exclusive right to manage, operate and control our Philippines integrated casino resort project, City of Dreams Manila.</w:t>
      </w:r>
    </w:p>
    <w:p>
      <w:pPr>
        <w:spacing w:after="0" w:line="169" w:lineRule="exact"/>
        <w:rPr>
          <w:sz w:val="20"/>
          <w:szCs w:val="20"/>
          <w:color w:val="auto"/>
        </w:rPr>
      </w:pPr>
    </w:p>
    <w:p>
      <w:pPr>
        <w:jc w:val="both"/>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In May 2016, we repurchased 155 million of our ordinary shares from Crown Asia Investments Pty, Ltd. Following completion of the repurchase and cancelation of such shares and certain changes in the composition of our board of directors, Melco International became our single largest shareholder and we were thereafter treated as a subsidiary of Melco International.</w:t>
      </w:r>
    </w:p>
    <w:p>
      <w:pPr>
        <w:spacing w:after="0" w:line="162" w:lineRule="exact"/>
        <w:rPr>
          <w:sz w:val="20"/>
          <w:szCs w:val="20"/>
          <w:color w:val="auto"/>
        </w:rPr>
      </w:pPr>
    </w:p>
    <w:p>
      <w:pPr>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In February 2017, the privately-negotiated sale by Crown Asia Investments Pty, Ltd. to Melco Leisure, through which Melco Leisure purchased 198,000,000 of our ordinary shares from Crown Asia Investments Pty, Ltd., closed and Melco International became our sole majority shareholder.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March 2017, our name change from Melco Crown Entertainment Limited to Melco Resorts &amp; Entertainment Limited became effective.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April 2017, our Nasdaq ticker symbol changed from “MPEL” to “MLCO.”</w:t>
      </w:r>
    </w:p>
    <w:p>
      <w:pPr>
        <w:spacing w:after="0" w:line="223" w:lineRule="exact"/>
        <w:rPr>
          <w:sz w:val="20"/>
          <w:szCs w:val="20"/>
          <w:color w:val="auto"/>
        </w:rPr>
      </w:pPr>
    </w:p>
    <w:p>
      <w:pPr>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In May 2017, we issued and sold 27,769,248 ADSs (equivalent to 83,307,744 ordinary shares) and 81,995,799 ordinary shares and also repurchased 165,303,544 ordinary shares from Crown Asia Investments Pty, Ltd. for the aggregate purchase price of US$1.2 billion, and such repurchased shares were subsequently canceled by us.</w:t>
      </w:r>
    </w:p>
    <w:p>
      <w:pPr>
        <w:spacing w:after="0" w:line="16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In October 2018, SCI completed its initial public offering of 28,750,000 SC ADSs (equivalent to 115,000,000 Class A ordinary shares of SCI), of which 15,330,000 SC ADSs were purchased by our subsidiary, MCO Cotai Investments Limited. In November 2018, the underwriters exercised their over-allotment option in full to purchase an additional 4,312,500 SC ADSs from SCI. After giving effect to the exercise of the over-allotment option, the total number of SC ADSs sold in the Studio City IPO was 33,062,500 SC ADSs, which raised net proceeds of approximately</w:t>
      </w:r>
    </w:p>
    <w:p>
      <w:pPr>
        <w:spacing w:after="0" w:line="1" w:lineRule="exact"/>
        <w:rPr>
          <w:sz w:val="20"/>
          <w:szCs w:val="20"/>
          <w:color w:val="auto"/>
        </w:rPr>
      </w:pPr>
    </w:p>
    <w:p>
      <w:pPr>
        <w:ind w:left="300" w:right="260"/>
        <w:spacing w:after="0" w:line="273" w:lineRule="auto"/>
        <w:rPr>
          <w:sz w:val="20"/>
          <w:szCs w:val="20"/>
          <w:color w:val="auto"/>
        </w:rPr>
      </w:pPr>
      <w:r>
        <w:rPr>
          <w:rFonts w:ascii="Times New Roman" w:cs="Times New Roman" w:eastAsia="Times New Roman" w:hAnsi="Times New Roman"/>
          <w:sz w:val="17"/>
          <w:szCs w:val="17"/>
          <w:color w:val="auto"/>
        </w:rPr>
        <w:t>US$406.7 million from the SC ADSs sold in the Studio City IPO and aggregate gross proceeds of approximately US$2.5 million from the concurrent private placement to Melco</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960"/>
          </w:cols>
          <w:pgMar w:left="320" w:top="472" w:right="6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spacing w:after="0" w:line="295" w:lineRule="auto"/>
        <w:rPr>
          <w:sz w:val="20"/>
          <w:szCs w:val="20"/>
          <w:color w:val="auto"/>
        </w:rPr>
      </w:pPr>
      <w:r>
        <w:rPr>
          <w:rFonts w:ascii="Times New Roman" w:cs="Times New Roman" w:eastAsia="Times New Roman" w:hAnsi="Times New Roman"/>
          <w:sz w:val="17"/>
          <w:szCs w:val="17"/>
          <w:color w:val="auto"/>
        </w:rPr>
        <w:t>International in connection with Melco International’s “assured entitlement” distribution to its shareholders, after deducting underwriting discounts and commissions and a structuring fee, but before deducting offering expenses payable by SCI.</w:t>
      </w:r>
    </w:p>
    <w:p>
      <w:pPr>
        <w:spacing w:after="0" w:line="147"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In December 2018, we completed the voluntary tender offer to acquire a total of 1,338,477,668 common shares of MRP from other minority shareholders of MRP and, together with an additional 107,475,300 shares acquired on or after December 6, 2018, increased our equity interest in MRP from approximately 72.8% immediately prior to the announcement of the tender offer to approximately 97.9% on December 13, 2018. MRP was involuntarily delisted from the Philippine Stock Exchange in June 2019 as its public ownership had fallen below the minimum requirement of the Philippine Stock Exchange for more than six months.</w:t>
      </w:r>
    </w:p>
    <w:p>
      <w:pPr>
        <w:spacing w:after="0" w:line="171" w:lineRule="exact"/>
        <w:rPr>
          <w:sz w:val="20"/>
          <w:szCs w:val="20"/>
          <w:color w:val="auto"/>
        </w:rPr>
      </w:pPr>
    </w:p>
    <w:p>
      <w:pPr>
        <w:ind w:left="300" w:right="820" w:firstLine="960"/>
        <w:spacing w:after="0" w:line="295" w:lineRule="auto"/>
        <w:rPr>
          <w:sz w:val="20"/>
          <w:szCs w:val="20"/>
          <w:color w:val="auto"/>
        </w:rPr>
      </w:pPr>
      <w:r>
        <w:rPr>
          <w:rFonts w:ascii="Times New Roman" w:cs="Times New Roman" w:eastAsia="Times New Roman" w:hAnsi="Times New Roman"/>
          <w:sz w:val="17"/>
          <w:szCs w:val="17"/>
          <w:color w:val="auto"/>
        </w:rPr>
        <w:t>On July 31, 2019, we acquired a 75% equity interest in ICR Cyprus, whose subsidiaries are currently operating City of Dreams Mediterranean in Limassol and three satellite casinos in Nicosia, Ayia Napa and Paphos.</w:t>
      </w:r>
    </w:p>
    <w:p>
      <w:pPr>
        <w:spacing w:after="0" w:line="147" w:lineRule="exact"/>
        <w:rPr>
          <w:sz w:val="20"/>
          <w:szCs w:val="20"/>
          <w:color w:val="auto"/>
        </w:rPr>
      </w:pPr>
    </w:p>
    <w:p>
      <w:pPr>
        <w:ind w:left="300" w:right="220" w:firstLine="960"/>
        <w:spacing w:after="0" w:line="262" w:lineRule="auto"/>
        <w:rPr>
          <w:sz w:val="20"/>
          <w:szCs w:val="20"/>
          <w:color w:val="auto"/>
        </w:rPr>
      </w:pPr>
      <w:r>
        <w:rPr>
          <w:rFonts w:ascii="Times New Roman" w:cs="Times New Roman" w:eastAsia="Times New Roman" w:hAnsi="Times New Roman"/>
          <w:sz w:val="17"/>
          <w:szCs w:val="17"/>
          <w:color w:val="auto"/>
        </w:rPr>
        <w:t>On May 4, 2022, we were identified as a Commission-Identified Issuer under the Holding Foreign Companies Accountable Act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August 2022, we repurchased 9,995,799 ordinary shares and 25,000,000 ADSs from Melco Leisure.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March 2023, we repurchased 40,373,076 ordinary shares from Melco Leisure.</w:t>
      </w:r>
    </w:p>
    <w:p>
      <w:pPr>
        <w:spacing w:after="0" w:line="223" w:lineRule="exact"/>
        <w:rPr>
          <w:sz w:val="20"/>
          <w:szCs w:val="20"/>
          <w:color w:val="auto"/>
        </w:rPr>
      </w:pPr>
    </w:p>
    <w:p>
      <w:pPr>
        <w:ind w:left="300" w:firstLine="960"/>
        <w:spacing w:after="0" w:line="231" w:lineRule="auto"/>
        <w:rPr>
          <w:sz w:val="20"/>
          <w:szCs w:val="20"/>
          <w:color w:val="auto"/>
        </w:rPr>
      </w:pPr>
      <w:r>
        <w:rPr>
          <w:rFonts w:ascii="Times New Roman" w:cs="Times New Roman" w:eastAsia="Times New Roman" w:hAnsi="Times New Roman"/>
          <w:sz w:val="17"/>
          <w:szCs w:val="17"/>
          <w:color w:val="auto"/>
        </w:rPr>
        <w:t>Our principal executive offices are located at 71 Robinson Road, #04-03, Singapore 068895 and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Floor, The Centrium, 60 Wyndham Street, Central, Hong Kong. Our telephone number is 852-2598-3600 and our fax number is 852-2537-3618. Our registered office is located at Intertrust Corporate Services (Cayman) Limited, One Nexus Way, Camana Bay, Grand Cayman KY1-9005, Cayman Islands. Our website is www.melco-resorts.com. The information contained on our website is not part of this annual report on Form 20-F.</w:t>
      </w:r>
    </w:p>
    <w:p>
      <w:pPr>
        <w:spacing w:after="0" w:line="19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 SEC maintains an internet site (http://www.sec.gov) that contains reports, proxy and information statements, and other information regarding issuers that file electronically with the SEC.</w:t>
      </w: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B. BUSINESS OVERVIEW</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We are a developer, owner and operator of integrated resort facilities in Asia and Europe. We currently have three major casino-based operations in Macau, namely, City of Dreams, Studio City and Altira Macau, and non-casino based operations in Macau at our Mocha Clubs. We also have a casino-based operation in the Philippines, City of Dreams Manila. In 2019, we expanded our footprint outside of Asia and into Europe following our acquisition of a 75% equity interest in ICR Cyprus, which owns and operates City of Dreams Mediterranean and three satellite casinos in Cyprus. We commenced operations of the Sri Lanka Casino and management of Nüwa Sri Lanka at City of Dreams Sri Lanka in the third quarter of 2025.</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920"/>
          </w:cols>
          <w:pgMar w:left="320" w:top="472" w:right="6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current and future operations are designed to cater to a broad spectrum of gaming patrons, from high-stakes rolling chip gaming patrons to gaming patrons seeking a broader entertainment experience. We currently own and operate six Forbes Travel Guide (“FTG”) Five-Star hotels in Asia — Altira Macau, Studio City’s Epic Tower and Star Tower, Morpheus, and Nüwa in both Macau and Manila — and received 19 FTG Five-Star and three FTG Four-Star recognitions across our properties in 2026. We seek to attract patrons throughout Asia, Europe and, in particular, from China.</w:t>
      </w:r>
    </w:p>
    <w:p>
      <w:pPr>
        <w:spacing w:after="0" w:line="169"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We have earned multiple international accolades recognizing our excellence in operations, corporate social responsibility and contributions towards sustainability. These awards include:</w:t>
      </w:r>
    </w:p>
    <w:p>
      <w:pPr>
        <w:spacing w:after="0" w:line="55" w:lineRule="exact"/>
        <w:rPr>
          <w:sz w:val="20"/>
          <w:szCs w:val="20"/>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Sustainability Award at the International Gaming Awards 2026;</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within the Casinos &amp; Gaming industry in the S&amp;P Global Sustainability Yearbook for the second consecutive year in 2026;</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as an Industry Mover within the Casinos &amp; Gaming industry in the S&amp;P Global Sustainability Yearbook 2025;</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 Responsible Gaming Program at the Asia Gaming Awards for the third consecutive year in 2025;</w:t>
      </w:r>
    </w:p>
    <w:p>
      <w:pPr>
        <w:spacing w:after="0" w:line="129" w:lineRule="exact"/>
        <w:rPr>
          <w:rFonts w:ascii="Times New Roman" w:cs="Times New Roman" w:eastAsia="Times New Roman" w:hAnsi="Times New Roman"/>
          <w:sz w:val="17"/>
          <w:szCs w:val="17"/>
          <w:color w:val="auto"/>
        </w:rPr>
      </w:pPr>
    </w:p>
    <w:p>
      <w:pPr>
        <w:ind w:left="1240" w:right="420" w:hanging="530"/>
        <w:spacing w:after="0" w:line="298"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Sustainable Asia Award at the Asian Excellence Awards by </w:t>
      </w:r>
      <w:r>
        <w:rPr>
          <w:rFonts w:ascii="Times New Roman" w:cs="Times New Roman" w:eastAsia="Times New Roman" w:hAnsi="Times New Roman"/>
          <w:sz w:val="17"/>
          <w:szCs w:val="17"/>
          <w:i w:val="1"/>
          <w:iCs w:val="1"/>
          <w:color w:val="auto"/>
        </w:rPr>
        <w:t>Corporate Governance Asia</w:t>
      </w:r>
      <w:r>
        <w:rPr>
          <w:rFonts w:ascii="Times New Roman" w:cs="Times New Roman" w:eastAsia="Times New Roman" w:hAnsi="Times New Roman"/>
          <w:sz w:val="17"/>
          <w:szCs w:val="17"/>
          <w:color w:val="auto"/>
        </w:rPr>
        <w:t xml:space="preserve"> magazine for the second consecutive year in 2025;</w:t>
      </w:r>
    </w:p>
    <w:p>
      <w:pPr>
        <w:spacing w:after="0" w:line="52"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Waste Reduction Award at the ESGBusiness Awards 2025;</w:t>
      </w:r>
    </w:p>
    <w:p>
      <w:pPr>
        <w:spacing w:after="0" w:line="131"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 CSR Initiative at the IAG Academy IR Awards for the second consecutive year in 2025, Best Workplace in 2025 and Best Overall CSR Program in 2023 and 2024;</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BEST Award by The Association for Talent Development (“ATD”);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Contribution in Corporate Social Responsibility at the Asia Gaming Awards 2023;</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Social Responsibility Award of the Year at the Global Gaming Awards Asia for the second consecutive year in 2023;</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Excellence in Practice Award by ATD in the Career Development category for the Company’s “Foundation Accelerated Program”;</w:t>
      </w:r>
    </w:p>
    <w:p>
      <w:pPr>
        <w:spacing w:after="0" w:line="129" w:lineRule="exact"/>
        <w:rPr>
          <w:rFonts w:ascii="Times New Roman" w:cs="Times New Roman" w:eastAsia="Times New Roman" w:hAnsi="Times New Roman"/>
          <w:sz w:val="17"/>
          <w:szCs w:val="17"/>
          <w:color w:val="auto"/>
        </w:rPr>
      </w:pPr>
    </w:p>
    <w:p>
      <w:pPr>
        <w:ind w:left="1240" w:right="40" w:hanging="530"/>
        <w:spacing w:after="0" w:line="212"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Best Environmental Responsibility at the Asian Excellence Awards by </w:t>
      </w:r>
      <w:r>
        <w:rPr>
          <w:rFonts w:ascii="Times New Roman" w:cs="Times New Roman" w:eastAsia="Times New Roman" w:hAnsi="Times New Roman"/>
          <w:sz w:val="17"/>
          <w:szCs w:val="17"/>
          <w:i w:val="1"/>
          <w:iCs w:val="1"/>
          <w:color w:val="auto"/>
        </w:rPr>
        <w:t>Corporate Governance Asia</w:t>
      </w:r>
      <w:r>
        <w:rPr>
          <w:rFonts w:ascii="Times New Roman" w:cs="Times New Roman" w:eastAsia="Times New Roman" w:hAnsi="Times New Roman"/>
          <w:sz w:val="17"/>
          <w:szCs w:val="17"/>
          <w:color w:val="auto"/>
        </w:rPr>
        <w:t xml:space="preserve"> magazine for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 in 2023; and</w:t>
      </w:r>
    </w:p>
    <w:p>
      <w:pPr>
        <w:spacing w:after="0" w:line="101" w:lineRule="exact"/>
        <w:rPr>
          <w:rFonts w:ascii="Times New Roman" w:cs="Times New Roman" w:eastAsia="Times New Roman" w:hAnsi="Times New Roman"/>
          <w:sz w:val="17"/>
          <w:szCs w:val="17"/>
          <w:color w:val="auto"/>
        </w:rPr>
      </w:pPr>
    </w:p>
    <w:p>
      <w:pPr>
        <w:ind w:left="1240" w:right="480" w:hanging="530"/>
        <w:spacing w:after="0" w:line="211"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named among the Top 10 most sustainable hospitality companies in the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7"/>
          <w:szCs w:val="17"/>
          <w:color w:val="auto"/>
        </w:rPr>
        <w:t xml:space="preserve"> Greater China Hotel Business Sustainability Index launched by CUHK Business School’s Centre for Business Sustainability in 2023.</w:t>
      </w:r>
    </w:p>
    <w:p>
      <w:pPr>
        <w:spacing w:after="0" w:line="193"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We generated a significant majority of our total revenues for each of the years ended December 31, 2025, 2024 and 2023 from our operations in Macau, the principal market in which we compete. For further information on the Macau gaming market, see “— Market and Competition — Macau Gaming Market.”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Major Existing Operations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w:t>
      </w:r>
    </w:p>
    <w:p>
      <w:pPr>
        <w:spacing w:after="0" w:line="122" w:lineRule="exact"/>
        <w:rPr>
          <w:sz w:val="20"/>
          <w:szCs w:val="20"/>
          <w:color w:val="auto"/>
        </w:rPr>
      </w:pPr>
    </w:p>
    <w:p>
      <w:pPr>
        <w:ind w:left="300" w:right="540" w:firstLine="960"/>
        <w:spacing w:after="0" w:line="295" w:lineRule="auto"/>
        <w:rPr>
          <w:sz w:val="20"/>
          <w:szCs w:val="20"/>
          <w:color w:val="auto"/>
        </w:rPr>
      </w:pPr>
      <w:r>
        <w:rPr>
          <w:rFonts w:ascii="Times New Roman" w:cs="Times New Roman" w:eastAsia="Times New Roman" w:hAnsi="Times New Roman"/>
          <w:sz w:val="17"/>
          <w:szCs w:val="17"/>
          <w:color w:val="auto"/>
        </w:rPr>
        <w:t>City of Dreams is an integrated resort in Cotai, Macau, which opened in June 2009. City of Dreams is a premium-focused property, targeting high-end customers and rolling chip patrons from regional markets across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0940"/>
          </w:cols>
          <w:pgMar w:left="320" w:top="472" w:right="6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20"/>
        <w:spacing w:after="0" w:line="269" w:lineRule="auto"/>
        <w:rPr>
          <w:sz w:val="20"/>
          <w:szCs w:val="20"/>
          <w:color w:val="auto"/>
        </w:rPr>
      </w:pPr>
      <w:r>
        <w:rPr>
          <w:rFonts w:ascii="Times New Roman" w:cs="Times New Roman" w:eastAsia="Times New Roman" w:hAnsi="Times New Roman"/>
          <w:sz w:val="17"/>
          <w:szCs w:val="17"/>
          <w:color w:val="auto"/>
        </w:rPr>
        <w:t>Asia. City of Dreams had an average of approximately 439 gaming tables and approximately 635 gaming machines in 2025, compared to an average of approximately 430 gaming tables and approximately 613 gaming machines in 2024 and an average of approximately 430 gaming tables and approximately 628 gaming machines in 2023. Following the closure of Grand Dragon Casino in September 2025 and Mocha Hotel Royal in December 2025, 15 gaming tables and 137 gaming machines were re-allocated to City of Dreams.</w:t>
      </w:r>
    </w:p>
    <w:p>
      <w:pPr>
        <w:spacing w:after="0" w:line="169"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resort brings together a collection of brands to create an experience that appeals to a broad spectrum of visitors from around Asia. Morpheus offers approximately 783 rooms, suites and villas, Nüwa offers approximately 286 guest rooms, suites and villas, and the Grand Hyatt Macau hotel offers approximately 763 guest rooms and suites. The Countdown is currently undergoing renovations as part of its rebranding and is expected to be launched in the third quarter of 2026 with approximately 150 high end luxury suites with an average room size in excess of 1,000 square feet. In addition, City of Dreams includes 41 food and beverage outlets, approximately 110 retail outlets, a wet stage performance theater, recreation and leisure facilities, including health and fitness clubs, swimming pools, spas and salons and banquet and meeting facilities. The Para nightclub offers approximately 2,232 square meters (equivalent to approximately 24,025 square feet) of live entertainment space. SOHO, a lifestyle entertainment and dining precinct located on the second floor of City of Dreams, offers customers a wide selection of food and beverage and other non-gaming offerings. The wet stage performance theater with approximately 2,000 seats features House of Dancing Water, which had been temporarily closed since June 2020 and re-launched in May 2025.</w:t>
      </w:r>
    </w:p>
    <w:p>
      <w:pPr>
        <w:spacing w:after="0" w:line="387" w:lineRule="exact"/>
        <w:rPr>
          <w:sz w:val="20"/>
          <w:szCs w:val="20"/>
          <w:color w:val="auto"/>
        </w:rPr>
      </w:pPr>
    </w:p>
    <w:p>
      <w:pPr>
        <w:ind w:left="300" w:right="420" w:firstLine="960"/>
        <w:spacing w:after="0" w:line="295" w:lineRule="auto"/>
        <w:rPr>
          <w:sz w:val="20"/>
          <w:szCs w:val="20"/>
          <w:color w:val="auto"/>
        </w:rPr>
      </w:pPr>
      <w:r>
        <w:rPr>
          <w:rFonts w:ascii="Times New Roman" w:cs="Times New Roman" w:eastAsia="Times New Roman" w:hAnsi="Times New Roman"/>
          <w:sz w:val="17"/>
          <w:szCs w:val="17"/>
          <w:color w:val="auto"/>
        </w:rPr>
        <w:t>City of Dreams has garnered numerous awards in recognition of its high level of customer service and diverse range of entertainment experiences. Below are some of these accolades:</w:t>
      </w:r>
    </w:p>
    <w:p>
      <w:pPr>
        <w:spacing w:after="0" w:line="55" w:lineRule="exact"/>
        <w:rPr>
          <w:sz w:val="20"/>
          <w:szCs w:val="20"/>
          <w:color w:val="auto"/>
        </w:rPr>
      </w:pPr>
    </w:p>
    <w:p>
      <w:pPr>
        <w:jc w:val="both"/>
        <w:ind w:left="1240" w:right="220" w:hanging="530"/>
        <w:spacing w:after="0" w:line="27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was honored as one of the top 10 winners in the Best Integrated Resorts category at the Travel + Leisure Luxury Awards Asia Pacific 2025 for the third consecutive year. It was selected as the World’s Leading Casino Resort, Macau’s Leading Hotel, Macau’s Leading Resort and Macau’s Leading Casino Resort at the World Travel Awards 2025;</w:t>
      </w:r>
    </w:p>
    <w:p>
      <w:pPr>
        <w:spacing w:after="0" w:line="70" w:lineRule="exact"/>
        <w:rPr>
          <w:rFonts w:ascii="Times New Roman" w:cs="Times New Roman" w:eastAsia="Times New Roman" w:hAnsi="Times New Roman"/>
          <w:sz w:val="17"/>
          <w:szCs w:val="17"/>
          <w:color w:val="auto"/>
        </w:rPr>
      </w:pPr>
    </w:p>
    <w:p>
      <w:pPr>
        <w:ind w:left="1240" w:right="140" w:hanging="530"/>
        <w:spacing w:after="0" w:line="27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Morpheus and its spa were recognized by FTG with Five-Star recognition for the seventh consecutive year in 2026, Other accolades garnered by Morpheus include Two MICHELIN Keys in the 2025 Global MICHELIN Keys Selection, Best Design in the Hotel Category at the Tatler Best 2025 Hong Kong and Macau and being listed among the World’s Most Beautiful Hotels by the Prix Versailles in 2023;</w:t>
      </w:r>
    </w:p>
    <w:p>
      <w:pPr>
        <w:spacing w:after="0" w:line="70" w:lineRule="exact"/>
        <w:rPr>
          <w:rFonts w:ascii="Times New Roman" w:cs="Times New Roman" w:eastAsia="Times New Roman" w:hAnsi="Times New Roman"/>
          <w:sz w:val="17"/>
          <w:szCs w:val="17"/>
          <w:color w:val="auto"/>
        </w:rPr>
      </w:pPr>
    </w:p>
    <w:p>
      <w:pPr>
        <w:ind w:left="1240" w:right="20" w:hanging="530"/>
        <w:spacing w:after="0" w:line="223"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Nüwa was recognized as a FTG Five-Star hotel for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 in 2026, while its spa was awarded FTG Five-Star recognition for the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w:t>
      </w:r>
    </w:p>
    <w:p>
      <w:pPr>
        <w:ind w:left="1240" w:right="80" w:hanging="530"/>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Cantonese culinary masterpiece Jade Dragon was awarded FTG Five-Star recognition for the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consecutive year in 2026. It received Three Diamonds in the Black Pearl Restaurant Guide 2025 for the sixth consecutive year and maintained its Three MICHELIN Star rating for the seventh consecutive year in the MICHELIN Guide Hong Kong Macau 2025. It was listed among LA LISTE World’s Best Restaurants 2025 and was named among the Best 100 Restaurants at the Tatler Best Awards Asia-Pacific for the second consecutive year in 2025. It was also honored as Macau’s Restaurant of the Year and was listed among the Tatler Best 20 Restaurants in Macau at the Tatler Best Awards Hong Kong and Macau for the second consecutive year in 2025. Additionally, it garnered the Black Diamond award in the Trip.Gourmet 2026 The Global Selection of Restaurants and was named a three-star restaurant by the Golden Phoenix Tree China Restaurant Guide 2024;</w:t>
      </w:r>
    </w:p>
    <w:p>
      <w:pPr>
        <w:spacing w:after="0" w:line="103" w:lineRule="exact"/>
        <w:rPr>
          <w:rFonts w:ascii="Times New Roman" w:cs="Times New Roman" w:eastAsia="Times New Roman" w:hAnsi="Times New Roman"/>
          <w:sz w:val="17"/>
          <w:szCs w:val="17"/>
          <w:color w:val="auto"/>
        </w:rPr>
      </w:pPr>
    </w:p>
    <w:p>
      <w:pPr>
        <w:ind w:left="1240" w:right="200" w:hanging="530"/>
        <w:spacing w:after="0" w:line="26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ultimate French culinary experience provided by Alain Ducasse at Morpheus enabled it to receive FTG Five-Star recognition for the seventh year in 2026. It was honored with One Diamond in the Black Pearl Restaurant Guide 2025 for the second consecutive year and attained Two MICHELIN Stars in the MICHELIN Guide Hong Kong Macau 2025 for the seventh year running. It was listed among LA LISTE World’s Best Restaurants 2025 and was named among the Best 100 Restaurants at the Tatler Best Awards Asia-Pacific in 2025. It also won the Best Service accolade in the Restaurant &amp; Bar</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0960"/>
          </w:cols>
          <w:pgMar w:left="320" w:top="472"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180"/>
        <w:spacing w:after="0" w:line="295" w:lineRule="auto"/>
        <w:rPr>
          <w:sz w:val="20"/>
          <w:szCs w:val="20"/>
          <w:color w:val="auto"/>
        </w:rPr>
      </w:pPr>
      <w:r>
        <w:rPr>
          <w:rFonts w:ascii="Times New Roman" w:cs="Times New Roman" w:eastAsia="Times New Roman" w:hAnsi="Times New Roman"/>
          <w:sz w:val="17"/>
          <w:szCs w:val="17"/>
          <w:color w:val="auto"/>
        </w:rPr>
        <w:t>Category and was listed among the Tatler Best 20 Restaurants in Macau at the Tatler Best Awards Hong Kong and Macau for the second consecutive year in 2025. Additionally, it garnered the Diamond award in the Trip.Gourmet 2026 The Global Selection of Restaurants;</w:t>
      </w:r>
    </w:p>
    <w:p>
      <w:pPr>
        <w:spacing w:after="0" w:line="55" w:lineRule="exact"/>
        <w:rPr>
          <w:sz w:val="20"/>
          <w:szCs w:val="20"/>
          <w:color w:val="auto"/>
        </w:rPr>
      </w:pPr>
    </w:p>
    <w:p>
      <w:pPr>
        <w:ind w:left="1240" w:hanging="530"/>
        <w:spacing w:after="0" w:line="266"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Yí at Morpheus was honored with FTG Five-Star recognition for the seventh year in 2026. It received One Diamond in the Black Pearl Restaurant Guide 2025 for the sixth consecutive year and was recommended by MICHELIN Guide Hong Kong Macau 2025. It was listed among LA LISTE World’s Best Restaurants 2025 and was named among the Tatler Best 20 Restaurants in Macau at the Tatler Best Awards Hong Kong and Macau for the second consecutive year in 2025. It also garnered the Platinum award in the Trip.Gourmet 2026 The Global Selection of Restaurants; and</w:t>
      </w:r>
    </w:p>
    <w:p>
      <w:pPr>
        <w:spacing w:after="0" w:line="79" w:lineRule="exact"/>
        <w:rPr>
          <w:rFonts w:ascii="Times New Roman" w:cs="Times New Roman" w:eastAsia="Times New Roman" w:hAnsi="Times New Roman"/>
          <w:sz w:val="17"/>
          <w:szCs w:val="17"/>
          <w:color w:val="auto"/>
        </w:rPr>
      </w:pPr>
    </w:p>
    <w:p>
      <w:pPr>
        <w:ind w:left="1240" w:right="220" w:hanging="530"/>
        <w:spacing w:after="0" w:line="276"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Sushi Kinetsu, specializing in Japanese cuisine, was awarded One Diamond from the Black Pearl Restaurant Guide 2025 and One MICHELIN Star in the MICHELIN Guide Hong Kong Macau 2025, both for the second consecutive year. It also garnered the Diamond award in the Trip.Gourmet 2026 The Global Selection of Restaurants.</w:t>
      </w:r>
    </w:p>
    <w:p>
      <w:pPr>
        <w:spacing w:after="0" w:line="162"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The Dancing Water Theater, a wet stage performance theater with approximately 2,000 seats, features the internationally acclaimed and award-winning water-based extravaganza, House of Dancing Water. House of Dancing Water is the live entertainment centerpiece of the overall leisure and entertainment offering at City of Dreams and highlights City of Dreams as an innovative entertainment-focused destination, strengthening the overall diversity of Macau as a multi-day stay market and one of Asia’s premier leisure and entertainment destinations. House of Dancing Water incorporates costumes, sets and audio-visual special effects and showcases an international cast of performance artists. House of Dancing Water had been temporarily closed since June 2020 and re-launched in May 2025.</w:t>
      </w:r>
    </w:p>
    <w:p>
      <w:pPr>
        <w:spacing w:after="0" w:line="17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recognition of its innovation and spectacular experience, House of Dancing Water was named the Best IR Resort Attraction at the IAG Academy IR Awards in 2025. In addition, House of Dancing Water Premiere project was honored with the Platinum Award for Best Brand Awareness Campaign and the Gold Award for Best Integrated Marketing Campaign at the 2025 TITAN Brand Awards, and the House of Dancing Water team was awarded the 2025 Medal of Merit - Tourism by the Macau government, honoring their significant contributions to the promotion and development of the local tourism sector.</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w:t>
      </w:r>
    </w:p>
    <w:p>
      <w:pPr>
        <w:spacing w:after="0" w:line="122" w:lineRule="exact"/>
        <w:rPr>
          <w:sz w:val="20"/>
          <w:szCs w:val="20"/>
          <w:color w:val="auto"/>
        </w:rPr>
      </w:pPr>
    </w:p>
    <w:p>
      <w:pPr>
        <w:ind w:left="300" w:right="80" w:firstLine="960"/>
        <w:spacing w:after="0" w:line="263" w:lineRule="auto"/>
        <w:rPr>
          <w:sz w:val="20"/>
          <w:szCs w:val="20"/>
          <w:color w:val="auto"/>
        </w:rPr>
      </w:pPr>
      <w:r>
        <w:rPr>
          <w:rFonts w:ascii="Times New Roman" w:cs="Times New Roman" w:eastAsia="Times New Roman" w:hAnsi="Times New Roman"/>
          <w:sz w:val="17"/>
          <w:szCs w:val="17"/>
          <w:color w:val="auto"/>
        </w:rPr>
        <w:t>Studio City is a large-scale cinematically-themed integrated resort which opened in October 2015. The gaming operations of Studio City are focused primarily on the mass market and target all ranges of mass market patrons. Melco Resorts Macau currently has 259 mass gaming tables and 800 gaming machines available for operation at the Studio City Casino pursuant to the Studio City Casino Agreement. Studio City Casino had an average of approximately 253 gaming tables and 775 gaming machines in operation in 2025, compared to an average of approximately 251 gaming tables and 709 gaming machines in operation in 2024 and an average of approximately 246 gaming tables and 661 gaming machines in operation in 2023. Following the closure of Mocha Kuong Fat, Mocha Grand Dragon Hotel and Mocha Hotel Royal in September, November and December 2025, respectively, 198 gaming machines were re-allocated to Studio City.</w:t>
      </w:r>
    </w:p>
    <w:p>
      <w:pPr>
        <w:spacing w:after="0" w:line="17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Studio City also includes luxury hotel offerings and various entertainment, retail and food and beverage outlets to attract a diverse range of customers. Designed to focus on the mass market operation, Studio City offers cinematically-themed, unique and innovative interactive attractions, including the world’s first figure-8 Ferris wheel, a deluxe night club and karaoke, a 5,000-seat live performance arena, an outdoor and an indoor water park, as well as 2,493 luxury hotel rooms, suites and villas, diverse food and beverage establishments, a nine-screen cineplex and approximately 44,300 square meters of complementary retail space.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Studio City has received numerous awards and accolades, including:</w:t>
      </w:r>
    </w:p>
    <w:p>
      <w:pPr>
        <w:spacing w:after="0" w:line="131" w:lineRule="exact"/>
        <w:rPr>
          <w:sz w:val="20"/>
          <w:szCs w:val="20"/>
          <w:color w:val="auto"/>
        </w:rPr>
      </w:pPr>
    </w:p>
    <w:p>
      <w:pPr>
        <w:ind w:left="1240" w:right="420" w:hanging="530"/>
        <w:spacing w:after="0" w:line="295"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2026, Studio City’s Star Tower received the FTG Five-Star recognition for the ninth consecutive year, while Epic Tower earned its second FTG Five-Star recognition;</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940"/>
          </w:cols>
          <w:pgMar w:left="320" w:top="472"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240" w:hanging="530"/>
        <w:spacing w:after="0" w:line="29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Spa at Epic Tower earned its second FTG Five-Star recognition in 2026. Zensa Spa was awarded the FTG Five-Star recognition for the eighth time in 2026 and was named as the Best Luxury Day Spa at the International Spa &amp; Beauty Awards 2024;</w:t>
      </w:r>
    </w:p>
    <w:p>
      <w:pPr>
        <w:spacing w:after="0" w:line="55" w:lineRule="exact"/>
        <w:rPr>
          <w:rFonts w:ascii="Times New Roman" w:cs="Times New Roman" w:eastAsia="Times New Roman" w:hAnsi="Times New Roman"/>
          <w:sz w:val="17"/>
          <w:szCs w:val="17"/>
          <w:color w:val="auto"/>
        </w:rPr>
      </w:pPr>
    </w:p>
    <w:p>
      <w:pPr>
        <w:ind w:left="1240" w:right="40" w:hanging="530"/>
        <w:spacing w:after="0" w:line="268"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signature Cantonese restaurant Pearl Dragon received its eighth FTG Five-Star recognition in 2026 and maintained its One MICHELIN Star for the ninth consecutive year in the MICHELIN Guide Hong Kong Macau 2025. It was listed among LA LISTE World’s Best Restaurants 2025 and named among the Tatler Best 20 Restaurants in Macau at the Tatler Best Awards Hong Kong and Macau for the second consecutive year in 2025. Additionally, it garnered the Platinum award in the Trip.Gourmet 2026 The Global Selection of Restaurants;</w:t>
      </w:r>
    </w:p>
    <w:p>
      <w:pPr>
        <w:spacing w:after="0" w:line="289" w:lineRule="exact"/>
        <w:rPr>
          <w:rFonts w:ascii="Times New Roman" w:cs="Times New Roman" w:eastAsia="Times New Roman" w:hAnsi="Times New Roman"/>
          <w:sz w:val="17"/>
          <w:szCs w:val="17"/>
          <w:color w:val="auto"/>
        </w:rPr>
      </w:pPr>
    </w:p>
    <w:p>
      <w:pPr>
        <w:ind w:left="1240" w:right="480" w:hanging="530"/>
        <w:spacing w:after="0" w:line="29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 was selected as one of the top 10 winners in the Hotel Pools category of the Travel + Leisure Luxury Awards Asia Pacific 2025;</w:t>
      </w:r>
    </w:p>
    <w:p>
      <w:pPr>
        <w:spacing w:after="0" w:line="55" w:lineRule="exact"/>
        <w:rPr>
          <w:rFonts w:ascii="Times New Roman" w:cs="Times New Roman" w:eastAsia="Times New Roman" w:hAnsi="Times New Roman"/>
          <w:sz w:val="17"/>
          <w:szCs w:val="17"/>
          <w:color w:val="auto"/>
        </w:rPr>
      </w:pPr>
    </w:p>
    <w:p>
      <w:pPr>
        <w:jc w:val="both"/>
        <w:ind w:left="1240" w:right="20" w:hanging="530"/>
        <w:spacing w:after="0" w:line="276"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Phase 2 achieved the Building Research Establishment Environmental Assessment Method (BREEAM) “Excellent” rating for New Construction in 2025. It is also the first BREEAM certified project in China under the category International 2016 New Construction: Bespoke scheme with an “Excellent” rating;</w:t>
      </w:r>
    </w:p>
    <w:p>
      <w:pPr>
        <w:spacing w:after="0" w:line="70"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 Macau – Studio City was recognized as one of the World’s Most Beautiful Hotels by UNESCO’s World Architecture &amp; Design Award, the Prix Versailles, in 2024; and</w:t>
      </w:r>
    </w:p>
    <w:p>
      <w:pPr>
        <w:spacing w:after="0" w:line="55" w:lineRule="exact"/>
        <w:rPr>
          <w:rFonts w:ascii="Times New Roman" w:cs="Times New Roman" w:eastAsia="Times New Roman" w:hAnsi="Times New Roman"/>
          <w:sz w:val="17"/>
          <w:szCs w:val="17"/>
          <w:color w:val="auto"/>
        </w:rPr>
      </w:pPr>
    </w:p>
    <w:p>
      <w:pPr>
        <w:ind w:left="1240" w:right="20" w:hanging="530"/>
        <w:spacing w:after="0" w:line="276"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Water Park was listed among China’s Top 100 Novel Attractions in the 2023 Global Travel Play Book released by the China Tourism Academy and Mafengwo, and also received the World Waterpark Association (“WWA”) Leading Edge Award for its indoor water park in 2023.</w:t>
      </w:r>
    </w:p>
    <w:p>
      <w:pPr>
        <w:spacing w:after="0" w:line="16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its diverse range of gaming and non-gaming offerings, Studio City is strategically located in the Cotai region of Macau.</w:t>
      </w:r>
    </w:p>
    <w:p>
      <w:pPr>
        <w:spacing w:after="0" w:line="223" w:lineRule="exact"/>
        <w:rPr>
          <w:sz w:val="20"/>
          <w:szCs w:val="20"/>
          <w:color w:val="auto"/>
        </w:rPr>
      </w:pPr>
    </w:p>
    <w:p>
      <w:pPr>
        <w:ind w:left="300" w:right="400" w:firstLine="960"/>
        <w:spacing w:after="0" w:line="295" w:lineRule="auto"/>
        <w:rPr>
          <w:sz w:val="20"/>
          <w:szCs w:val="20"/>
          <w:color w:val="auto"/>
        </w:rPr>
      </w:pPr>
      <w:r>
        <w:rPr>
          <w:rFonts w:ascii="Times New Roman" w:cs="Times New Roman" w:eastAsia="Times New Roman" w:hAnsi="Times New Roman"/>
          <w:sz w:val="17"/>
          <w:szCs w:val="17"/>
          <w:color w:val="auto"/>
        </w:rPr>
        <w:t>Our subsidiary Melco Resorts Macau operates the gaming areas of Studio City pursuant to the Studio City Casino Agreement. Melco Resorts Macau is reimbursed for the costs incurred in connection with its operation of Studio City’s gaming areas.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Altira Macau</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Altira Macau caters to the premium mass and mass operations. Altira Macau had an average of approximately 31 gaming tables and 160 gaming machines operated under the brand Mocha at Altira Macau in 2025, compared to an average of approximately 39 gaming tables and 134 gaming machines operated under the brand Mocha at Altira Macau in 2024 and an average of approximately 44 gaming tables and 141 gaming machines operated under the brand Mocha at Altira Macau in 2023. Following the closure of Mocha Grand Dragon Hotel in November 2025, 100 gaming machines were re-allocated to Altira Macau. Altira Macau has a multi-floor layout comprising various gaming areas. Our multi-floor layout allows us the flexibility to reconfigure Altira Macau’s gaming areas to meet the changing demands of our patrons and target specific customer segments.</w:t>
      </w:r>
    </w:p>
    <w:p>
      <w:pPr>
        <w:spacing w:after="0" w:line="173"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We consider Altira hotel, located within the 38-story Altira Macau, to be one of the leading hotels in Macau as evidenced by its long-standing FTG Five-Star recognition. The top floor of the Altira hotel serves as the hotel lobby and reception area, providing guests with views of the surrounding area. The Altira hotel comprises approximately 216 guest rooms, including suites and villas, as of December 31, 2025. A number of restaurants and dining facilities are available at Altira Macau, including a leading Italian restaurant, Aurora, several Chinese and international restaurants and a bar/karaoke. Altira hotel also offers several non-gaming amenities, including a spa, health club, outdoor garden podium and sky terrace lounge.</w:t>
      </w: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940"/>
          </w:cols>
          <w:pgMar w:left="320" w:top="472" w:right="6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Altira Macau offers a luxurious hotel experience with its internationally acclaimed accommodation and guest services. Below are some of the awards Altira Macau has received:</w:t>
      </w:r>
    </w:p>
    <w:p>
      <w:pPr>
        <w:spacing w:after="0" w:line="55" w:lineRule="exact"/>
        <w:rPr>
          <w:sz w:val="20"/>
          <w:szCs w:val="20"/>
          <w:color w:val="auto"/>
        </w:rPr>
      </w:pPr>
    </w:p>
    <w:p>
      <w:pPr>
        <w:ind w:left="1240" w:hanging="530"/>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FTG Five-Star recognition in lodging and spa categories by FTG for 17 consecutive years in 2026;</w:t>
      </w:r>
    </w:p>
    <w:p>
      <w:pPr>
        <w:spacing w:after="0" w:line="131"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and Altira Spa were selected as top 10 winners in the Hotel Pools and Hotel Spas categories, for the second and third consecutive years respectively, of the Travel + Leisure Luxury Awards Asia Pacific 2025;</w:t>
      </w:r>
    </w:p>
    <w:p>
      <w:pPr>
        <w:spacing w:after="0" w:line="55" w:lineRule="exact"/>
        <w:rPr>
          <w:rFonts w:ascii="Times New Roman" w:cs="Times New Roman" w:eastAsia="Times New Roman" w:hAnsi="Times New Roman"/>
          <w:sz w:val="17"/>
          <w:szCs w:val="17"/>
          <w:color w:val="auto"/>
        </w:rPr>
      </w:pPr>
    </w:p>
    <w:p>
      <w:pPr>
        <w:ind w:left="1240" w:right="200" w:hanging="530"/>
        <w:spacing w:after="0" w:line="295"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Japanese tempura specialist Tenmasa received FTG Five-Star recognition for the 12th consecutive year in 2026 and was listed among LA LISTE World’s Best Restaurants 2025;</w:t>
      </w:r>
    </w:p>
    <w:p>
      <w:pPr>
        <w:spacing w:after="0" w:line="55" w:lineRule="exact"/>
        <w:rPr>
          <w:rFonts w:ascii="Times New Roman" w:cs="Times New Roman" w:eastAsia="Times New Roman" w:hAnsi="Times New Roman"/>
          <w:sz w:val="17"/>
          <w:szCs w:val="17"/>
          <w:color w:val="auto"/>
        </w:rPr>
      </w:pPr>
    </w:p>
    <w:p>
      <w:pPr>
        <w:jc w:val="both"/>
        <w:ind w:left="1240" w:right="140" w:hanging="530"/>
        <w:spacing w:after="0" w:line="276"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Cantonese restaurant Ying was honored with the FTG Five-Star recognition for the seventh consecutive year in 2026 and was awarded One MICHELIN Star in the MICHELIN Guide Hong Kong Macau 2025 for the ninth consecutive year. Additionally, it was listed among LA LISTE World’s Best Restaurants 2025; and</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Italian restaurant Aurora earned FTG Five-Star recognition for the 12th year in 2026.</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Mocha Clubs</w:t>
      </w:r>
    </w:p>
    <w:p>
      <w:pPr>
        <w:spacing w:after="0" w:line="122"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Mocha Clubs comprise non-casino based operations of electronic gaming machines in Macau. Mocha Clubs had an average of approximately 810 gaming machines in operation (excluding approximately 160 gaming machines at Altira Macau) in 2025, compared to an average of approximately 882 gaming machines in operation (excluding approximately 134 gaming machines at Altira Macau) in 2024 and an average of approximately 874 gaming machines in operation (excluding approximately 141 gaming machines at Altira Macau) in 2023. According to the DICJ, there were a total of 12,000 slot machines in the Macau market as of December 31, 2025. Mocha Clubs focus on general mass market</w:t>
      </w:r>
    </w:p>
    <w:p>
      <w:pPr>
        <w:spacing w:after="0" w:line="1" w:lineRule="exact"/>
        <w:rPr>
          <w:sz w:val="20"/>
          <w:szCs w:val="20"/>
          <w:color w:val="auto"/>
        </w:rPr>
      </w:pPr>
    </w:p>
    <w:p>
      <w:pPr>
        <w:ind w:left="300" w:right="1160"/>
        <w:spacing w:after="0" w:line="273" w:lineRule="auto"/>
        <w:rPr>
          <w:sz w:val="20"/>
          <w:szCs w:val="20"/>
          <w:color w:val="auto"/>
        </w:rPr>
      </w:pPr>
      <w:r>
        <w:rPr>
          <w:rFonts w:ascii="Times New Roman" w:cs="Times New Roman" w:eastAsia="Times New Roman" w:hAnsi="Times New Roman"/>
          <w:sz w:val="17"/>
          <w:szCs w:val="17"/>
          <w:color w:val="auto"/>
        </w:rPr>
        <w:t>patrons, including day trip customers, outside the conventional casino setting. We operate Mocha Clubs at leased or sub-leased premises or under right-to-use agreements.</w:t>
      </w:r>
    </w:p>
    <w:p>
      <w:pPr>
        <w:spacing w:after="0" w:line="164"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Mocha Club gaming facilities offer both electronic gaming machines, including stand-alone machines, stand-alone progressive jackpot machines and linked progressive jackpot machines with a variety of games, and electronic table games which feature fully-automated multi-player machines with roulette, baccarat and sic-bo, a traditional Chinese dice game.</w:t>
      </w:r>
    </w:p>
    <w:p>
      <w:pPr>
        <w:spacing w:after="0" w:line="162" w:lineRule="exact"/>
        <w:rPr>
          <w:sz w:val="20"/>
          <w:szCs w:val="20"/>
          <w:color w:val="auto"/>
        </w:rPr>
      </w:pPr>
    </w:p>
    <w:p>
      <w:pPr>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In addition to the Mocha Clubs, we also operated the Grand Dragon Casino, which focused on mass market table games. Grand Dragon Casino had an average of approximately 15 gaming tables in 2025, compared to an average of approximately 16 gaming tables in 2024 and approximately 17 gaming tables in 2023.</w:t>
      </w:r>
    </w:p>
    <w:p>
      <w:pPr>
        <w:spacing w:after="0" w:line="162" w:lineRule="exact"/>
        <w:rPr>
          <w:sz w:val="20"/>
          <w:szCs w:val="20"/>
          <w:color w:val="auto"/>
        </w:rPr>
      </w:pPr>
    </w:p>
    <w:p>
      <w:pPr>
        <w:ind w:left="300" w:right="140" w:firstLine="960"/>
        <w:spacing w:after="0" w:line="260" w:lineRule="auto"/>
        <w:rPr>
          <w:sz w:val="20"/>
          <w:szCs w:val="20"/>
          <w:color w:val="auto"/>
        </w:rPr>
      </w:pPr>
      <w:r>
        <w:rPr>
          <w:rFonts w:ascii="Times New Roman" w:cs="Times New Roman" w:eastAsia="Times New Roman" w:hAnsi="Times New Roman"/>
          <w:sz w:val="17"/>
          <w:szCs w:val="17"/>
          <w:color w:val="auto"/>
        </w:rPr>
        <w:t>Under the Macau Gaming Operations Law, concessionaires, such as Melco Resorts Macau, may continue to operate games of chance in casinos in properties that are not owned by them for a period of three years from January 1, 2023 under authorization of the Chief Executive of Macau. Such three-year period ended on December 31, 2025, following which the concessionaires may only continue to operate games of chance in properties that are not owned by them by engaging a managing company, with any such engagement subject to approval of the Chief Executive of Macau. In accordance with our development strategy and the Macau Gaming Operations Law, the Grand Dragon Casino and three of our Mocha Clubs, namely Mocha Kuong Fat, Mocha Grand Dragon Hotel and Mocha Hotel Royal, progressively ceased operations between September and December 2025. Following these closures, 15 gaming tables and 137 gaming machines were re-allocated to City of Dreams, and 100 gaming machines and 198 gaming machines were re-allocated to Altira Macau and Studio City, respectively. The Chief Executive of Macau has approved the engagement of a wholly-owned management company by Melco Resorts Macau and the respective management agreement in connection with the continuing operations of Mocha Inner Harbour, Mocha Hotel Sintra and Mocha Golden Dragon beyond December 31, 2025, and an amendment agreement to the Concession Contract was signed in February 2026 to reflect that these three Mocha Clubs will continue to be operated under the engagement of such management company effective from January 1, 2026, subject to compliance with all legal and regulatory requirements. See “Item 3. Key Information</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960"/>
          </w:cols>
          <w:pgMar w:left="320" w:top="472" w:right="6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80"/>
        <w:spacing w:after="0" w:line="295" w:lineRule="auto"/>
        <w:rPr>
          <w:sz w:val="20"/>
          <w:szCs w:val="20"/>
          <w:color w:val="auto"/>
        </w:rPr>
      </w:pPr>
      <w:r>
        <w:rPr>
          <w:rFonts w:ascii="Times New Roman" w:cs="Times New Roman" w:eastAsia="Times New Roman" w:hAnsi="Times New Roman"/>
          <w:sz w:val="17"/>
          <w:szCs w:val="17"/>
          <w:color w:val="auto"/>
        </w:rPr>
        <w:t>— D. Risk Factors — Risks Relating to Operating in the Gaming Industry in Macau — We may be required to cease our operations at Mocha Clubs” and “— Regulations — Macau Regulations — Gaming Operation Regulations.”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Manila</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City of Dreams Manila is one of the leading integrated tourism resorts in the Philippines. The property is located on</w:t>
      </w:r>
    </w:p>
    <w:p>
      <w:pPr>
        <w:spacing w:after="0" w:line="32" w:lineRule="exact"/>
        <w:rPr>
          <w:sz w:val="20"/>
          <w:szCs w:val="20"/>
          <w:color w:val="auto"/>
        </w:rPr>
      </w:pPr>
    </w:p>
    <w:p>
      <w:pPr>
        <w:ind w:left="300" w:right="180"/>
        <w:spacing w:after="0" w:line="262" w:lineRule="auto"/>
        <w:rPr>
          <w:sz w:val="20"/>
          <w:szCs w:val="20"/>
          <w:color w:val="auto"/>
        </w:rPr>
      </w:pPr>
      <w:r>
        <w:rPr>
          <w:rFonts w:ascii="Times New Roman" w:cs="Times New Roman" w:eastAsia="Times New Roman" w:hAnsi="Times New Roman"/>
          <w:sz w:val="17"/>
          <w:szCs w:val="17"/>
          <w:color w:val="auto"/>
        </w:rPr>
        <w:t>an approximately 6.2-hectare site at the gateway of Entertainment City’s Manila Bay area in the city of Parañaque and is part of the Aseana City township development. It is close to Metro Manila’s international airport terminals and central business districts. City of Dreams Manila opened in December 2014 and represented our first entry into an entertainment and gaming market outside of Macau and an incremental source of earnings and cash flow outside of Macau.</w:t>
      </w:r>
    </w:p>
    <w:p>
      <w:pPr>
        <w:spacing w:after="0" w:line="174"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The property’s total gross floor area is approximately 313,000 square meters (equivalent to approximately 3.4 million square feet). We are authorized by PAGCOR to operate up to approximately 2,300 slot machines, 1,200 electronic gaming tables and 380 gaming tables. City of Dreams Manila had an average of approximately 2,265 gaming machines and 265 gaming tables in 2025, compared to an average of approximately 2,278 gaming machines and 267 gaming tables in 2024 and an average of approximately 2,297 gaming machines and 267 gaming tables in 2023.</w:t>
      </w:r>
    </w:p>
    <w:p>
      <w:pPr>
        <w:spacing w:after="0" w:line="169"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City of Dreams Manila has three hotels: Nüwa Manila, Nobu Hotel Manila and Hyatt Regency Manila, City of Dreams Manila, with 939 rooms in aggregate. Exciting entertainment venues characterize the luxurious integrated resort: DreamPlay, the world’s first DreamWorks-inspired family entertainment center, which officially opened in June 2015; and CenterPlay, a lounge at the center of the main gaming floor which features live band performances from late afternoons. City of Dreams Manila also features The Shops at the Boulevard, a spacious retail strip where luxury retail shops that provide a broad range of choices are juxtaposed with exciting food and beverage outlets. Impressive regional and international specialty restaurants and bars, spas, gyms, and a multi-level car park are also available for guests.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City of Dreams Manila has received the following recognitions:</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Integrated Resort</w:t>
      </w:r>
    </w:p>
    <w:p>
      <w:pPr>
        <w:spacing w:after="0" w:line="133" w:lineRule="exact"/>
        <w:rPr>
          <w:sz w:val="20"/>
          <w:szCs w:val="20"/>
          <w:color w:val="auto"/>
        </w:rPr>
      </w:pPr>
    </w:p>
    <w:p>
      <w:pPr>
        <w:ind w:left="1240" w:right="72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 Leisure Luxury Awards Asia-Pacific 2024-2025 – Top Ten Best Integrated Resorts in Asia, for excellence in travel and hospitality;</w:t>
      </w:r>
    </w:p>
    <w:p>
      <w:pPr>
        <w:spacing w:after="0" w:line="55"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Tripadvisor’s annual Travelers’ Choice Award 2024 – named in the Top 10% worldwide by the world’s largest travel guidance platform, for earning the highest ratings in customer service; and</w:t>
      </w:r>
    </w:p>
    <w:p>
      <w:pPr>
        <w:spacing w:after="0" w:line="55"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 Travel Awards – Asia’s Leading Casino Resort for the fifth time in 2025, World’s Leading Casino Resort for the fifth time in 2024, World’s Leading Fully Integrated Resort in 2023 and Asia’s Leading Fully Integrated Resort for the third time in 2023.</w:t>
      </w:r>
    </w:p>
    <w:p>
      <w:pPr>
        <w:spacing w:after="0" w:line="24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Luxury Hotels and Spa</w:t>
      </w:r>
    </w:p>
    <w:p>
      <w:pPr>
        <w:spacing w:after="0" w:line="133"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FTG 2026 Star ratings for the ninth consecutive year – Nüwa Manila (Five-Star), Nobu Hotel Manila and the Hyatt Regency Manila, City of Dreams (both Four-Star);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FTG 2026 Five-Star – for Nüwa Spa, retaining its rating for the seventh consecutive year;</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Tripadvisor’s annual Traveler’s Choice Awards 2025 for customer service – listed Nüwa Manila and Hyatt Regency Manila for the eighth consecutive year and Nobu Hotel Manila for the seventh year;</w:t>
      </w:r>
    </w:p>
    <w:p>
      <w:pPr>
        <w:spacing w:after="0" w:line="55" w:lineRule="exact"/>
        <w:rPr>
          <w:rFonts w:ascii="Times New Roman" w:cs="Times New Roman" w:eastAsia="Times New Roman" w:hAnsi="Times New Roman"/>
          <w:sz w:val="17"/>
          <w:szCs w:val="17"/>
          <w:color w:val="auto"/>
        </w:rPr>
      </w:pPr>
    </w:p>
    <w:p>
      <w:pPr>
        <w:ind w:left="5540" w:right="60" w:hanging="4830"/>
        <w:spacing w:after="0" w:line="472"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Booking.com Traveler Review Awards 2025 – recognized the three luxury hotels at City of Dreams Manila for the fifth consecutive year; 87</w:t>
      </w:r>
    </w:p>
    <w:p>
      <w:pPr>
        <w:sectPr>
          <w:pgSz w:w="11900" w:h="16838" w:orient="portrait"/>
          <w:cols w:equalWidth="0" w:num="1">
            <w:col w:w="10880"/>
          </w:cols>
          <w:pgMar w:left="320" w:top="472" w:right="6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Agoda Customer Review Award 2024 – given to Hyatt Regency Manila for the second time; and</w:t>
      </w:r>
    </w:p>
    <w:p>
      <w:pPr>
        <w:spacing w:after="0" w:line="131" w:lineRule="exact"/>
        <w:rPr>
          <w:rFonts w:ascii="Times New Roman" w:cs="Times New Roman" w:eastAsia="Times New Roman" w:hAnsi="Times New Roman"/>
          <w:sz w:val="17"/>
          <w:szCs w:val="17"/>
          <w:color w:val="auto"/>
        </w:rPr>
      </w:pPr>
    </w:p>
    <w:p>
      <w:pPr>
        <w:ind w:left="1240" w:right="20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Smart Travel Asia Best in Travel Awards named Hyatt Regency Manila as one of the 10 Best Family Hotels in Asia based on their readers’ poll.</w:t>
      </w:r>
    </w:p>
    <w:p>
      <w:pPr>
        <w:spacing w:after="0" w:line="24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Restaurants</w:t>
      </w:r>
    </w:p>
    <w:p>
      <w:pPr>
        <w:spacing w:after="0" w:line="133"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 Culinary Awards 2025 – the resort’s signature restaurants Crystal Dragon and Nobu Manila were named Philippines’ Best Hotel Restaurant for the second year and Philippines’ Best Restaurant 2024, respectively;</w:t>
      </w:r>
    </w:p>
    <w:p>
      <w:pPr>
        <w:spacing w:after="0" w:line="55" w:lineRule="exact"/>
        <w:rPr>
          <w:rFonts w:ascii="Times New Roman" w:cs="Times New Roman" w:eastAsia="Times New Roman" w:hAnsi="Times New Roman"/>
          <w:sz w:val="17"/>
          <w:szCs w:val="17"/>
          <w:color w:val="auto"/>
        </w:rPr>
      </w:pPr>
    </w:p>
    <w:p>
      <w:pPr>
        <w:ind w:left="1240" w:right="120" w:hanging="530"/>
        <w:spacing w:after="0" w:line="276"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Tatler Best Philippines (rebranded Tatler Dining Guide) – Crystal Dragon and Nobu Manila consistently maintained their inclusion in the 2025 list of the country’s over 200 must-try restaurants for the tenth consecutive year. Red Ginger was featured in 2024 for the seventh time and Haliya were also featured in the book in 2023 and 2024;</w:t>
      </w:r>
    </w:p>
    <w:p>
      <w:pPr>
        <w:spacing w:after="0" w:line="70" w:lineRule="exact"/>
        <w:rPr>
          <w:rFonts w:ascii="Times New Roman" w:cs="Times New Roman" w:eastAsia="Times New Roman" w:hAnsi="Times New Roman"/>
          <w:sz w:val="17"/>
          <w:szCs w:val="17"/>
          <w:color w:val="auto"/>
        </w:rPr>
      </w:pPr>
    </w:p>
    <w:p>
      <w:pPr>
        <w:ind w:left="1240" w:right="40" w:hanging="530"/>
        <w:spacing w:after="0" w:line="288"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Lifestyle Asia “Crave” coffee table book, October 2024 – Crystal Dragon was the only Chinese restaurant featured among the 15 Manila’s finest restaurants and dining experiences. The book serves as a guide to the culinary artistry and experiences that define the city’s food scene;</w:t>
      </w:r>
    </w:p>
    <w:p>
      <w:pPr>
        <w:spacing w:after="0" w:line="275"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Philippine Culinary Cup – the team of chefs and mixologists won a total of 11 medals in 2025 and 22 medals in 2024 at the prestigious culinary competition; and</w:t>
      </w:r>
    </w:p>
    <w:p>
      <w:pPr>
        <w:spacing w:after="0" w:line="55" w:lineRule="exact"/>
        <w:rPr>
          <w:rFonts w:ascii="Times New Roman" w:cs="Times New Roman" w:eastAsia="Times New Roman" w:hAnsi="Times New Roman"/>
          <w:sz w:val="17"/>
          <w:szCs w:val="17"/>
          <w:color w:val="auto"/>
        </w:rPr>
      </w:pPr>
    </w:p>
    <w:p>
      <w:pPr>
        <w:ind w:left="1260" w:right="3620" w:hanging="550"/>
        <w:spacing w:after="0" w:line="521" w:lineRule="auto"/>
        <w:tabs>
          <w:tab w:leader="none" w:pos="124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Spot.ph 10 Restaurants in Manila for Regional Filipino Eats 2023 – recognized Haliya. </w:t>
      </w:r>
      <w:r>
        <w:rPr>
          <w:rFonts w:ascii="Times New Roman" w:cs="Times New Roman" w:eastAsia="Times New Roman" w:hAnsi="Times New Roman"/>
          <w:sz w:val="17"/>
          <w:szCs w:val="17"/>
          <w:i w:val="1"/>
          <w:iCs w:val="1"/>
          <w:color w:val="auto"/>
        </w:rPr>
        <w:t>Sustainability and Corporate Social Responsibility</w:t>
      </w:r>
    </w:p>
    <w:p>
      <w:pPr>
        <w:ind w:left="1240" w:right="16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FTG Travel Guide VERIFIED Responsible Hospitality badge – Nüwa Manila earned this prestigious distinction in 2025. This is an FTG third-party certification that sets the global benchmark for environmentally-conscious hospitality;</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FTG Responsible Hospitality Award 2023 – the resort was named one of only three Finalists globally, for outstanding level of commitment to sustainable practices at the luxury level in the annual Best of the Year Awards of FTG; and</w:t>
      </w:r>
    </w:p>
    <w:p>
      <w:pPr>
        <w:spacing w:after="0" w:line="55" w:lineRule="exact"/>
        <w:rPr>
          <w:rFonts w:ascii="Times New Roman" w:cs="Times New Roman" w:eastAsia="Times New Roman" w:hAnsi="Times New Roman"/>
          <w:sz w:val="17"/>
          <w:szCs w:val="17"/>
          <w:color w:val="auto"/>
        </w:rPr>
      </w:pPr>
    </w:p>
    <w:p>
      <w:pPr>
        <w:ind w:left="1240" w:right="92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ASEAN Green Hotel Award 2022 – awarded to each of the three hotels at the ASEAN Tourism Forum by the various tourism organizations in the region, for upholding sustainable tourism.</w:t>
      </w:r>
    </w:p>
    <w:p>
      <w:pPr>
        <w:spacing w:after="0" w:line="24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Talent Excellence and Development</w:t>
      </w:r>
    </w:p>
    <w:p>
      <w:pPr>
        <w:spacing w:after="0" w:line="133" w:lineRule="exact"/>
        <w:rPr>
          <w:rFonts w:ascii="Times New Roman" w:cs="Times New Roman" w:eastAsia="Times New Roman" w:hAnsi="Times New Roman"/>
          <w:sz w:val="17"/>
          <w:szCs w:val="17"/>
          <w:color w:val="auto"/>
        </w:rPr>
      </w:pPr>
    </w:p>
    <w:p>
      <w:pPr>
        <w:ind w:left="1240" w:right="220" w:hanging="530"/>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Stelliers Asia Award, the only accolade in the region that honors the hospitality industry’s dedicated professionals, presented three distinguished awards to City of Dreams Manila executives.</w:t>
      </w:r>
    </w:p>
    <w:p>
      <w:pPr>
        <w:spacing w:after="0" w:line="24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Responsible Gaming</w:t>
      </w:r>
    </w:p>
    <w:p>
      <w:pPr>
        <w:spacing w:after="0" w:line="13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RG Check accreditation developed by the Responsible Gambling Council, covering 2021-2027.</w:t>
      </w:r>
    </w:p>
    <w:p>
      <w:pPr>
        <w:spacing w:after="0" w:line="22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Melco Resorts Leisure operates the casino business of City of Dreams Manila in accordance with the terms of the Philippine License and the operating agreement between Melco Resorts Leisure and the Philippine Parties dated March 13, 2013. Under the operating agreement, PremiumLeisure and Amusement, Inc. (a member of the Philippine Parties) has the right to receive monthly payments from Melco Resorts Leisure, based on the performance of gaming operations of City of Dreams Manila, and Melco Resorts Leisure has the right to retain all revenues from non-gaming operations of City of Dreams Manila.</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920"/>
          </w:cols>
          <w:pgMar w:left="320" w:top="472" w:right="6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Having met the minimum investment levels and other requirements under our Provisional License, the Philippine License dated April 29, 2015 was issued by PAGCOR to the Philippine Licensees. The Philippine License has the same terms and conditions as the Provisional License and is valid until July 11, 2033.</w:t>
      </w:r>
    </w:p>
    <w:p>
      <w:pPr>
        <w:spacing w:after="0" w:line="162"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For a breakdown of total revenues by category of activity and geographic market for each of the last three financial years, see “Item 5. Operating and Financial Review and Prospects — A. Operating Results.”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Mediterranean and Other</w:t>
      </w:r>
    </w:p>
    <w:p>
      <w:pPr>
        <w:spacing w:after="0" w:line="12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City of Dreams Mediterranean is a large premier destination resort located in Limassol, Cyprus. It features a fourteen-story luxury hotel with 500 guest rooms and suites, over 9,900 square meters of MICE space, an outdoor amphitheater, a family adventure park, tennis academy and a variety of premium dining outlets and luxury retail. The total gross floor area of City of Dreams Mediterranean is approximately 90,000 square meters (equivalent to approximately 968,750 square feet). In addition, we currently operate three satellite casinos in Nicosia, Ayia Napa and Paphos in Cyprus in conjunction with City of Dreams Mediterranean.</w:t>
      </w:r>
    </w:p>
    <w:p>
      <w:pPr>
        <w:spacing w:after="0" w:line="171"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Under the terms of the Cyprus License, we have been granted the right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on June 26, 2017 and with the right for exclusivity in Cyprus for the first 15 years of the term. We ceased operations of the temporary casino in June 2023 and City of Dreams Mediterranean opened to the public in July 2023. Our satellite casino premises in Cyprus had an average of approximately 4 gaming tables and 161 gaming machines in 2025 and City of Dreams Mediterranean had an average of approximately 102 gaming tables and 729 gaming machines in 2025, compared to an average of approximately 4 gaming tables and 161 gaming machines for our satellite casino premises and an average of approximately 100 gaming tables and 733 gaming machines for City of Dreams Mediterranean in 2024 and an average of approximately 35 gaming tables and 453 gaming machines before the closure of the temporary casino and the City of Dreams Mediterranean opening and an average of approximately 103 gaming tables and 902 gaming machines in 2023, with an average of approximately 99 gaming tables and 744 gaming machines being operated under City of Dreams Mediterranean in the second half of 2023.</w:t>
      </w:r>
    </w:p>
    <w:p>
      <w:pPr>
        <w:spacing w:after="0" w:line="391"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We acquired a 75% equity interest in ICR Cyprus from Melco International, our parent company, in July 2019. The remaining 25% equity interest in ICR Cyprus is owned by The Cyprus Phassouri (Zakaki) Limited. On July 31, 2019, we entered into a shareholders’ agreement with The Cyprus Phassouri (Zakaki) Limited regarding certain commercial and financial arrangements pursuant to which we will, as more fully set out in additional management and service contracts, (i) provide certain corporate-level management services to ICR Cyprus and its subsidiaries for a fixed amount of EUR2 million (equivalent to approximately US$2.4 million) per annum and (ii) have the right to receive an allotment of preference shares in the gaming license-holding subsidiary of ICR Cyprus which will provide the right to a preferential dividend, among other terms.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City of Dreams Mediterranean has received numerous accolades, highlighting its exceptional offerings:</w:t>
      </w:r>
    </w:p>
    <w:p>
      <w:pPr>
        <w:spacing w:after="0" w:line="131" w:lineRule="exact"/>
        <w:rPr>
          <w:sz w:val="20"/>
          <w:szCs w:val="20"/>
          <w:color w:val="auto"/>
        </w:rPr>
      </w:pPr>
    </w:p>
    <w:p>
      <w:pPr>
        <w:ind w:left="1240" w:hanging="530"/>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Named Cyprus’s Best MICE Hotel at the World MICE Awards in 2025;</w:t>
      </w:r>
    </w:p>
    <w:p>
      <w:pPr>
        <w:spacing w:after="0" w:line="131" w:lineRule="exact"/>
        <w:rPr>
          <w:rFonts w:ascii="Times New Roman" w:cs="Times New Roman" w:eastAsia="Times New Roman" w:hAnsi="Times New Roman"/>
          <w:sz w:val="17"/>
          <w:szCs w:val="17"/>
          <w:color w:val="auto"/>
        </w:rPr>
      </w:pPr>
    </w:p>
    <w:p>
      <w:pPr>
        <w:ind w:left="1240" w:right="340" w:hanging="530"/>
        <w:spacing w:after="0" w:line="295"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Selected as Europe’s Leading Fully Integrated Resort, Europe’s Leading Casino Resort and Cyprus’s Leading Conference Hotel at the World Travel Awards 2025;</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as a Top-Rated Hotel in Cyprus at Tripadvisor Traveller’s Choice Awards 2025;</w:t>
      </w:r>
    </w:p>
    <w:p>
      <w:pPr>
        <w:spacing w:after="0" w:line="131" w:lineRule="exact"/>
        <w:rPr>
          <w:rFonts w:ascii="Times New Roman" w:cs="Times New Roman" w:eastAsia="Times New Roman" w:hAnsi="Times New Roman"/>
          <w:sz w:val="17"/>
          <w:szCs w:val="17"/>
          <w:color w:val="auto"/>
        </w:rPr>
      </w:pPr>
    </w:p>
    <w:p>
      <w:pPr>
        <w:ind w:left="1240" w:right="180" w:hanging="530"/>
        <w:spacing w:after="0" w:line="276"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Asian restaurant Amber Dragon was awarded a Golden Chef Hat at the Golden Chef Hats Cyprus Awards for the second consecutive year in 2025, while its French gastro club Anaïs received the Top-Notch Award for the second consecutive year in 2025 and its Prime Steakhouse earned its first Top-Notch Award in 2025;</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900"/>
          </w:cols>
          <w:pgMar w:left="320" w:top="472" w:right="6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 Steakhouse was honored with the Best Concept Award “Alcohol and Cigar” at the Cyprus Eating Awards 2024;</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Garnered the Gold Award for Sustainable Impact, Gold Award for Innovation in High-End Experience, Silver Award for Best Luxury Hotel and Resort Experience, Silver Award for Pioneer in Media and Tourism Events and Bronze Award for Global Outreach Initiatives at the Cyprus Tourism Awards 2024;</w:t>
      </w:r>
    </w:p>
    <w:p>
      <w:pPr>
        <w:spacing w:after="0" w:line="70"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Honored with the titles of Luxury Casino Hotel – Europe, Luxury Lifestyle Hotel – Cyprus and Luxury Sustainable Resort – Cyprus at the World Luxury Travel Awards 2024;</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the winner of the Tourism-Hotels-Entertainment-Food &amp; Beverage category at the IN Business Awards 2023;</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Named Best New Luxury Casino Resort – World at the 2023 Seven Stars Luxury Hospitality and Lifestyle Awards; and</w:t>
      </w:r>
    </w:p>
    <w:p>
      <w:pPr>
        <w:spacing w:after="0" w:line="131" w:lineRule="exact"/>
        <w:rPr>
          <w:rFonts w:ascii="Times New Roman" w:cs="Times New Roman" w:eastAsia="Times New Roman" w:hAnsi="Times New Roman"/>
          <w:sz w:val="17"/>
          <w:szCs w:val="17"/>
          <w:color w:val="auto"/>
        </w:rPr>
      </w:pPr>
    </w:p>
    <w:p>
      <w:pPr>
        <w:jc w:val="both"/>
        <w:ind w:left="1240" w:right="360" w:hanging="530"/>
        <w:spacing w:after="0" w:line="276"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The European Property Awards 2023 for achievements in three categories, Best Hotel Architecture Cyprus, Best Sustainable Commercial Development Cyprus and Best New Hotel Construction &amp; Design Cyprus, and was named Best International Sustainable Commercial Development and Best Sustainable Commercial Development Europe at the International Property Awards 2023.</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Operations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Sri Lanka</w:t>
      </w:r>
    </w:p>
    <w:p>
      <w:pPr>
        <w:spacing w:after="0" w:line="122"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We have leased an area within City of Dreams Sri Lanka, which is an integrated resort developed and operated by a subsidiary of John Keells, Waterfront Properties, under our brand “City of Dreams Sri Lanka” in accordance with a brand license agreement, to operate a casino business. City of Dreams Sri Lanka features two five-star hotels with a combined total of 800 luxury hotel rooms, MICE facilities, spa, fitness center and a variety of fine-dining restaurants and luxury retail. We manage the top five floors of City of Dreams Sri Lanka under our Nüwa brand, comprising a total of 113 luxury rooms and three dining restaurants and bars. We commenced operations of the Sri Lanka Casino and management of Nüwa Sri Lanka in the third quarter of 2025. Save for the casino, Nüwa Sri Lanka and the restaurants and bars located in the casino and the hotel, we do not manage or operate other parts of City of Dreams Sri Lanka.</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Pipeline Projects</w:t>
      </w:r>
    </w:p>
    <w:p>
      <w:pPr>
        <w:spacing w:after="0" w:line="120" w:lineRule="exact"/>
        <w:rPr>
          <w:sz w:val="20"/>
          <w:szCs w:val="20"/>
          <w:color w:val="auto"/>
        </w:rPr>
      </w:pPr>
    </w:p>
    <w:p>
      <w:pPr>
        <w:ind w:left="300" w:right="40" w:firstLine="960"/>
        <w:spacing w:after="0" w:line="268" w:lineRule="auto"/>
        <w:rPr>
          <w:sz w:val="20"/>
          <w:szCs w:val="20"/>
          <w:color w:val="auto"/>
        </w:rPr>
      </w:pPr>
      <w:r>
        <w:rPr>
          <w:rFonts w:ascii="Times New Roman" w:cs="Times New Roman" w:eastAsia="Times New Roman" w:hAnsi="Times New Roman"/>
          <w:sz w:val="17"/>
          <w:szCs w:val="17"/>
          <w:color w:val="auto"/>
        </w:rPr>
        <w:t>We continually seek new opportunities for additional gaming or related businesses in Macau and in other countries and will continue to target the development of a project pipeline in order to expand our footprint in countries which offer legalized casino gaming. In defining and setting the timing, form and structure for any future project, we focus on evaluating alternative available financing, market conditions and market demand. In order to pursue these opportunities, we have incurred and will continue to incur certain expenses and capital expenditures at our properties and for our projects.</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Land and Premises</w:t>
      </w:r>
    </w:p>
    <w:p>
      <w:pPr>
        <w:spacing w:after="0" w:line="120"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We operate our gaming business in Macau at the properties leased from the Macau government in accordance with the terms and conditions of our gaming concession, or, with respect to the Mocha Clubs, in third party-owned properties. In addition, properties leased from the Macau government are subject to the terms and conditions of land concession contracts. See “— Regulations — Macau Regulations — Land Regulations.” Through MRP, we operate our gaming business in the Philippines through the Philippine License issued by PAGCOR on a property which Melco Resorts Leisure leases from Belle Corporation under the Lease Agreement. In Cyprus, we operate our gaming business at a site owned by us at Zakaki in western Limassol and three satellite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960"/>
          </w:cols>
          <w:pgMar w:left="320" w:top="472" w:right="6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60"/>
        <w:spacing w:after="0" w:line="295" w:lineRule="auto"/>
        <w:rPr>
          <w:sz w:val="20"/>
          <w:szCs w:val="20"/>
          <w:color w:val="auto"/>
        </w:rPr>
      </w:pPr>
      <w:r>
        <w:rPr>
          <w:rFonts w:ascii="Times New Roman" w:cs="Times New Roman" w:eastAsia="Times New Roman" w:hAnsi="Times New Roman"/>
          <w:sz w:val="17"/>
          <w:szCs w:val="17"/>
          <w:color w:val="auto"/>
        </w:rPr>
        <w:t>casinos at our leased premises pursuant to the Cyprus License. In Sri Lanka, we have entered into a casino lease agreement to lease an area within City of Dreams Sri Lanka to operate the Sri Lanka Casino and a hotel management agreement to manage Nüwa Sri Lanka.</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City of Dreams is located in Cotai, Macau, with a land area of 113,325 square meters (equivalent to approximately 1.2 million square feet). In August 2008, the Macau government granted the land on which City of Dreams is located to COD Resorts and Melco Resorts Macau for a period of 25 years, renewable for further consecutive periods of ten years, subject to applicable legislation in Macau. Total land premium required for the land is in the amount of approximately MOP1,286.6 million (equivalent to approximately US$160.5 million), which was paid in full in January 2016. As of December 31, 2025, the total gross floor area at City of Dreams is 641,431.70 square meters (equivalent to approximately 6.9 million square feet), of which approximately 31,227.3 square meters, or 4.87% comprises gaming and gaming support area and is owned by the Macau SAR. Effective January 1, 2023, the Macau government has transferred this area to us for usage in our operations during the duration of the Concession Contract for a fee of MOP750.00 (equivalent to approximately US$94) per square meter for years 1 to 3 of the Concession Contract, subject to consumer price index increase in years 2 and 3 of the concession. The fee will increase to MOP2,500.00 (equivalent to approximately US$312) per square meter for years 4 to 10 of the concession, subject to consumer price index increase in years 5 to 10 of the concession.</w:t>
      </w:r>
    </w:p>
    <w:p>
      <w:pPr>
        <w:spacing w:after="0" w:line="174"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Under the current terms of the land concession, the annual land use fees payable to the Macau government range from approximately MOP3.4 million (equivalent to approximately US$0.4 million) during development up to approximately MOP9.9 million (equivalent to approximately US$1.2 million) after completion of development. The land use fee amounts may be adjusted every five years as agreed between the Macau government and the land concessionaire using the applicable rates in effect at the time of the rent adjustment.</w:t>
      </w:r>
    </w:p>
    <w:p>
      <w:pPr>
        <w:spacing w:after="0" w:line="169"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by the City of Dreams casino on or before December 31, 2022 is owned by the Macau SAR and has been transferred to us and held for use at City of Dreams during the duration of the Concession Contract, including the main gaming equipment to support our table games and gaming machine operations, cage equipment, security and surveillance equipment, casino fittings and equipment. We own the remaining gaming and gaming support equipment utilized by the City of Dreams casino and equipment utilized in the hotels at City of Dreams.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w:t>
      </w:r>
    </w:p>
    <w:p>
      <w:pPr>
        <w:spacing w:after="0" w:line="122"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Studio City is located in Cotai, Macau and has a land area of 130,789 square meters (equivalent to approximately 1.4 million square feet) held under a 25-year land lease agreement with the Macau government that is renewable for further consecutive periods of ten years, subject to applicable legislation in Macau. In October 2001, the Macau government granted the land on which Studio City is located to Studio City Developments Limited, which is a company incorporated in Macau with limited liability and which is also an indirect subsidiary of SCI. The Studio City land concession contract was amended in July 2012 and September 2015 to permit Studio City Developments Limited to build a complex comprising a four-star hotel, a facility for cinematographic industry, including supporting facilities for entertainment and tourism, parking and free area.</w:t>
      </w:r>
    </w:p>
    <w:p>
      <w:pPr>
        <w:spacing w:after="0" w:line="173"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The gross construction area of the Studio City site is approximately 657,879.4 square meters (equivalent to approximately 7.1 million square feet) of which approximately 28,784.3 square meters or 4.38% comprises the gaming and gaming support area and is owned by the Macau SAR. Effective from January 1, 2023, the Macau government has transferred this area to us for usage in our operations during the duration of the Concession Contract for the same fee set for the usage of the City of Dreams casino. As of December 31, 2025, the gross floor area of Studio City is approximately 657,879.4 square meters (equivalent to approximately 7.1 million square feet). The land premium of approximately MOP1,402.0 million (equivalent to approximately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0960"/>
          </w:cols>
          <w:pgMar w:left="320" w:top="472"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US$175 million) was paid in full in January 2015. Land use fees of approximately MOP3.9 million (equivalent to approximately US$486,611) per annum were paid to the Macau government during the development stage. The annual land use fees payable to the Macau government after completion of development are MOP9.1 million (equivalent to approximately US$1.1 million). The amounts may be adjusted every five years as agreed between the Macau government and the land concessionaire using the applicable rates in effect at the time of the rent adjustment.</w:t>
      </w:r>
    </w:p>
    <w:p>
      <w:pPr>
        <w:spacing w:after="0" w:line="169"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at the Studio City Casino on or before December 31, 2022 is owned by the Macau SAR and has been transferred to us and held for use at the Studio City Casino during the duration of the Concession Contract, including the main gaming equipment to support our table games and gaming machines operations, cage equipment, security and surveillance equipment, casino fittings and equipment. We own the remaining gaming and gaming support equipment utilized at the Studio City Casino and the equipment utilized in the Studio City Hotel.</w:t>
      </w:r>
    </w:p>
    <w:p>
      <w:pPr>
        <w:spacing w:after="0" w:line="171" w:lineRule="exact"/>
        <w:rPr>
          <w:sz w:val="20"/>
          <w:szCs w:val="20"/>
          <w:color w:val="auto"/>
        </w:rPr>
      </w:pPr>
    </w:p>
    <w:p>
      <w:pPr>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As part of the security provided in relation to the 2027 SCC Senior Secured Notes, the SCC 2016 Credit Facilities and the SCC 2024 Revolving Facilities, we assigned certain leases and right to use agreements and granted a mortgage over our rights under the Studio City land concession.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Altira Macau</w:t>
      </w:r>
    </w:p>
    <w:p>
      <w:pPr>
        <w:spacing w:after="0" w:line="122"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Altira Macau is located in Taipa, Macau with a land area of approximately 5,230 square meters (equivalent to approximately 56,295 square feet). In March 2006, Macau government granted the land on which the Altira is built to Altira Resorts for 25 years, renewable for further consecutive periods of ten years, subject to applicable legislation in Macau. The land grant was amended in December 2013. As of December 31, 2025, the total gross floor area of Altira Macau is approximately 104,583.39 square meters (equivalent to approximately 1.1 million square feet), of which approximately 17,128.8 square meters or 16.38% comprises the gaming and gaming support area and is owned by the Macau SAR. Effective from January 1, 2023, the Macau government has transferred this area to us for usage in our operations during the duration of the Concession Contract for the same fee set for the usage of the City of Dreams casino. Total land premium required is in the amount of MOP169.3 million (equivalent to approximately US$21 million) which was paid in full in 2013. According to the current terms of the land concession, the annual land use fees payable to the Macau government are approximately MOP1.5 million (equivalent to approximately US$0.2 million). This amount may be adjusted every five years as agreed between the Macau government and the land concessionaire using the applicable rates in effect at the time of the rent adjustment.</w:t>
      </w:r>
    </w:p>
    <w:p>
      <w:pPr>
        <w:spacing w:after="0" w:line="174"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by Altira Macau in the casino on or before December 31, 2022 is owned by the Macau SAR and has been transferred to us for usage in our operations during the duration of the Concession Contract and held for use at Altira Macau, including the main gaming equipment to support our table games and gaming machine operations, cage equipment, security and surveillance equipment and casino fittings and equipment. We own the remaining gaming and gaming support equipment utilized by the Altira casino and equipment utilized at the Altira hotel.</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960"/>
          </w:cols>
          <w:pgMar w:left="320" w:top="472" w:right="6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Mocha Clubs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Mocha Clubs operate at premises with a total floor area of approximately 30,800 square feet at the following locations in Macau as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2025:</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Mocha Club</w:t>
            </w: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Opening Month</w:t>
            </w:r>
          </w:p>
        </w:tc>
        <w:tc>
          <w:tcPr>
            <w:tcW w:w="464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Floor Area</w:t>
            </w:r>
          </w:p>
        </w:tc>
      </w:tr>
      <w:tr>
        <w:trPr>
          <w:trHeight w:val="144"/>
        </w:trPr>
        <w:tc>
          <w:tcPr>
            <w:tcW w:w="740" w:type="dxa"/>
            <w:vAlign w:val="bottom"/>
            <w:tcBorders>
              <w:top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(In square feet)</w:t>
            </w:r>
          </w:p>
        </w:tc>
        <w:tc>
          <w:tcPr>
            <w:tcW w:w="220" w:type="dxa"/>
            <w:vAlign w:val="bottom"/>
            <w:gridSpan w:val="2"/>
          </w:tcPr>
          <w:p>
            <w:pPr>
              <w:spacing w:after="0"/>
              <w:rPr>
                <w:sz w:val="12"/>
                <w:szCs w:val="12"/>
                <w:color w:val="auto"/>
              </w:rPr>
            </w:pPr>
          </w:p>
        </w:tc>
      </w:tr>
      <w:tr>
        <w:trPr>
          <w:trHeight w:val="209"/>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Sintra</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2005</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G/F and 1/F of Hotel Sintra</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7,800</w:t>
            </w:r>
          </w:p>
        </w:tc>
        <w:tc>
          <w:tcPr>
            <w:tcW w:w="200" w:type="dxa"/>
            <w:vAlign w:val="bottom"/>
            <w:shd w:val="clear" w:color="auto" w:fill="CCEEFF"/>
          </w:tcPr>
          <w:p>
            <w:pPr>
              <w:spacing w:after="0"/>
              <w:rPr>
                <w:sz w:val="18"/>
                <w:szCs w:val="18"/>
                <w:color w:val="auto"/>
              </w:rPr>
            </w:pPr>
          </w:p>
        </w:tc>
      </w:tr>
      <w:tr>
        <w:trPr>
          <w:trHeight w:val="209"/>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Golden Dragon</w:t>
            </w: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2012</w:t>
            </w: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G/F, 1/F and 2/F of Hotel Golden Dragon</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15,700</w:t>
            </w:r>
          </w:p>
        </w:tc>
        <w:tc>
          <w:tcPr>
            <w:tcW w:w="200" w:type="dxa"/>
            <w:vAlign w:val="bottom"/>
          </w:tcPr>
          <w:p>
            <w:pPr>
              <w:spacing w:after="0"/>
              <w:rPr>
                <w:sz w:val="18"/>
                <w:szCs w:val="18"/>
                <w:color w:val="auto"/>
              </w:rPr>
            </w:pPr>
          </w:p>
        </w:tc>
      </w:tr>
      <w:tr>
        <w:trPr>
          <w:trHeight w:val="209"/>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Inner Harbor</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2013</w:t>
            </w: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Rua Nova do Comércio, n.os 2-12, Macau</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7,300</w:t>
            </w:r>
          </w:p>
        </w:tc>
        <w:tc>
          <w:tcPr>
            <w:tcW w:w="200" w:type="dxa"/>
            <w:vAlign w:val="bottom"/>
            <w:shd w:val="clear" w:color="auto" w:fill="CCEEFF"/>
          </w:tcPr>
          <w:p>
            <w:pPr>
              <w:spacing w:after="0"/>
              <w:rPr>
                <w:sz w:val="18"/>
                <w:szCs w:val="18"/>
                <w:color w:val="auto"/>
              </w:rPr>
            </w:pPr>
          </w:p>
        </w:tc>
      </w:tr>
      <w:tr>
        <w:trPr>
          <w:trHeight w:val="215"/>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30,800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4"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Premises are being operated under leases, subleases or right to use agreements that expire at various dates through December 2032, which are renewable upon reaching agreements with the owners.</w:t>
      </w:r>
    </w:p>
    <w:p>
      <w:pPr>
        <w:spacing w:after="0" w:line="147"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The leasehold improvements to Mocha Club premises and the onsite equipment utilized at the Mocha Clubs are owned and held for use to support the gaming machine operations. In addition, the gaming machines at Altira are operated under the Mocha Club brand.</w:t>
      </w:r>
    </w:p>
    <w:p>
      <w:pPr>
        <w:spacing w:after="0" w:line="147" w:lineRule="exact"/>
        <w:rPr>
          <w:sz w:val="20"/>
          <w:szCs w:val="20"/>
          <w:color w:val="auto"/>
        </w:rPr>
      </w:pPr>
    </w:p>
    <w:p>
      <w:pPr>
        <w:ind w:left="300" w:right="160" w:firstLine="960"/>
        <w:spacing w:after="0" w:line="259" w:lineRule="auto"/>
        <w:rPr>
          <w:sz w:val="20"/>
          <w:szCs w:val="20"/>
          <w:color w:val="auto"/>
        </w:rPr>
      </w:pPr>
      <w:r>
        <w:rPr>
          <w:rFonts w:ascii="Times New Roman" w:cs="Times New Roman" w:eastAsia="Times New Roman" w:hAnsi="Times New Roman"/>
          <w:sz w:val="17"/>
          <w:szCs w:val="17"/>
          <w:color w:val="auto"/>
        </w:rPr>
        <w:t>In addition to the Mocha Clubs, we also operated the Grand Dragon Casino, which focused on mass market table games. Grand Dragon Casino premises, including the fit-out and gaming-related equipment, were located on the ground floor and level one within Grand Dragon Hotel in Macau and occupied a floor area of approximately 10,700 square feet. The gaming equipment operated at the Grand Dragon Casino on or before December 31, 2022 is owned by the Macau SAR and had been transferred to us for usage in our operations during the duration of the Concession Contract. We own the remaining gaming and gaming support equipment at the Grand Dragon Casino. In accordance with our overall development strategy and the Macau Gaming Operations Law, Grand Dragon Casino and three Mocha Clubs, namely Mocha Hotel Royal, Mocha Kuong Fat and Mocha Grand Dragon Hotel, progressively ceased operations between September and December 2025. Gaming tables and electronic gaming machines operating at the above-mentioned affected venues were re-allocated to, and continue operations at, City of Dreams, Studio City and Altira Macau in Macau. The Chief Executive of Macau has approved the engagement of a wholly-owned management company by Melco Resorts Macau and the respective management agreement in connection with the continuing operations of Mocha Inner Harbour, Mocha Hotel Sintra and Mocha Golden Dragon beyond December 31, 2025, and an amendment agreement to the Concession Contract was signed in February 2026 to reflect that these three Mocha Clubs will continue to be operated under the engagement of such management company effective from January 1, 2026, subject to compliance with all legal and regulatory requirements.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Manila</w:t>
      </w:r>
    </w:p>
    <w:p>
      <w:pPr>
        <w:spacing w:after="0" w:line="122"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The City of Dreams Manila site is located on reclaimed land (“Project Reclaimed Land”). The Project Reclaimed Land was originally acquired by an entity known as R 1 Consortium from the Philippine Public Estates Authority. R 1 Consortium conveyed all its interest to the Project Reclaimed Land in favor of two entities which later merged with Belle Bay City Corporation, which is 34.9% owned by Belle Corporation, one of the Philippine Parties, with Belle Bay City Corporation becoming the surviving entity and owner of the Project Reclaimed Land. Belle Bay City Corporation was, however, dissolved in 2005 and is still undergoing liquidation. The Project Reclaimed Land was allocated to Belle Corporation as part of Belle Bay City Corporation’s plan of dissolution. Belle Corporation has since exercised possession and other rights over the Project Reclaimed Land. In 2005, Belle Corporation transferred a portion of the Project Reclaimed Land to the Philippine Social Security System. In 2010, Belle Corporation and the Philippine Social Security System entered into a lease agreement for that part of the land.</w:t>
      </w:r>
    </w:p>
    <w:p>
      <w:pPr>
        <w:spacing w:after="0" w:line="175" w:lineRule="exact"/>
        <w:rPr>
          <w:sz w:val="20"/>
          <w:szCs w:val="20"/>
          <w:color w:val="auto"/>
        </w:rPr>
      </w:pPr>
    </w:p>
    <w:p>
      <w:pPr>
        <w:ind w:left="300" w:right="500" w:firstLine="960"/>
        <w:spacing w:after="0" w:line="295" w:lineRule="auto"/>
        <w:rPr>
          <w:sz w:val="20"/>
          <w:szCs w:val="20"/>
          <w:color w:val="auto"/>
        </w:rPr>
      </w:pPr>
      <w:r>
        <w:rPr>
          <w:rFonts w:ascii="Times New Roman" w:cs="Times New Roman" w:eastAsia="Times New Roman" w:hAnsi="Times New Roman"/>
          <w:sz w:val="17"/>
          <w:szCs w:val="17"/>
          <w:color w:val="auto"/>
        </w:rPr>
        <w:t>Melco Resorts Leisure does not own the land or the buildings comprising the site for City of Dreams Manila. Rather, Melco Resorts Leisure leases the Project Reclaimed Land and buildings from Belle Corporation</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960"/>
          </w:cols>
          <w:pgMar w:left="320" w:top="472" w:right="6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7"/>
          <w:szCs w:val="17"/>
          <w:color w:val="auto"/>
        </w:rPr>
        <w:t>under a Contract of Lease dated October 25, 2012 (“Lease Agreement”). Under the Lease Agreement, Melco Resorts Leisure leases from Belle Corporation the land upon which City of Dreams Manila is located with a total area of 61,141 square meters, as well as the buildings erected thereon, which are classified into Phase 1 and Phase 2 Buildings (collectively, “Leased Premises”). The Lease Agreement commenced upon the handover of the Leased Premises to Melco Resorts Leisure in 2013 and will continue during the term of the Philippine License, subject to certain termination events. The Lease Premises shall be used exclusively as a hotel, casino and resort complex, with retail, entertainment, convention exhibition, food and beverage services as well as other related activities. In August 2022 and October 2022, we entered into amendment agreements to the Lease Agreement with Belle Corporation, under which the parties revised the rent payable (i) for the year ended December 31, 2022; and (ii) for the year ended December 31, 2022 through the year ending December 31, 2033, respectively, subject to adjustments based on the annual headline inflation and bonus rent pursuant to the terms thereof.</w:t>
      </w: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Mediterranean and Other</w:t>
      </w:r>
    </w:p>
    <w:p>
      <w:pPr>
        <w:spacing w:after="0" w:line="122" w:lineRule="exact"/>
        <w:rPr>
          <w:sz w:val="20"/>
          <w:szCs w:val="20"/>
          <w:color w:val="auto"/>
        </w:rPr>
      </w:pPr>
    </w:p>
    <w:p>
      <w:pPr>
        <w:ind w:left="300" w:right="180" w:firstLine="960"/>
        <w:spacing w:after="0" w:line="263" w:lineRule="auto"/>
        <w:rPr>
          <w:sz w:val="20"/>
          <w:szCs w:val="20"/>
          <w:color w:val="auto"/>
        </w:rPr>
      </w:pPr>
      <w:r>
        <w:rPr>
          <w:rFonts w:ascii="Times New Roman" w:cs="Times New Roman" w:eastAsia="Times New Roman" w:hAnsi="Times New Roman"/>
          <w:sz w:val="17"/>
          <w:szCs w:val="17"/>
          <w:color w:val="auto"/>
        </w:rPr>
        <w:t>The City of Dreams Mediterranean site is located at Zakaki, in western Limassol, Cyprus (“Cyprus Project Land”) and has a land area of 367,000 square meters (equivalent to approximately 3.95 million square feet). Prior to our acquisition of Melco International’s 75% equity interest in ICR Cyprus on July 31, 2019, The Cyprus Phassouri (Zakaki) Limited, the current owner of a 25% equity interest in ICR Cyprus, acquired such 25% equity interest in ICR Cyprus by contributing its freehold interest over the Cyprus Project Land and as a result, a subsidiary of ICR Cyprus became owner of the freehold interest over the Cyprus Project Land. As of December 31, 2025, the total gross floor area of City of Dreams Mediterranean is approximately 90,000 square meters (equivalent to approximately 968,750 square feet), of which approximately 7,550 square meters or 8.39% comprises the gaming and gaming support area.</w:t>
      </w:r>
    </w:p>
    <w:p>
      <w:pPr>
        <w:spacing w:after="0" w:line="173" w:lineRule="exact"/>
        <w:rPr>
          <w:sz w:val="20"/>
          <w:szCs w:val="20"/>
          <w:color w:val="auto"/>
        </w:rPr>
      </w:pPr>
    </w:p>
    <w:p>
      <w:pPr>
        <w:ind w:left="300" w:right="740" w:firstLine="960"/>
        <w:spacing w:after="0" w:line="295" w:lineRule="auto"/>
        <w:rPr>
          <w:sz w:val="20"/>
          <w:szCs w:val="20"/>
          <w:color w:val="auto"/>
        </w:rPr>
      </w:pPr>
      <w:r>
        <w:rPr>
          <w:rFonts w:ascii="Times New Roman" w:cs="Times New Roman" w:eastAsia="Times New Roman" w:hAnsi="Times New Roman"/>
          <w:sz w:val="17"/>
          <w:szCs w:val="17"/>
          <w:color w:val="auto"/>
        </w:rPr>
        <w:t>In addition to City of Dreams Mediterranean, we also have the following satellite casinos in operation with the total floor area of approximately 21,075 square feet (equivalent to approximately 1,958 square meters) at various locations in Cyprus as of December 31, 2025:</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Cyprus Casinos</w:t>
            </w:r>
          </w:p>
        </w:tc>
        <w:tc>
          <w:tcPr>
            <w:tcW w:w="2040" w:type="dxa"/>
            <w:vAlign w:val="bottom"/>
          </w:tcPr>
          <w:p>
            <w:pPr>
              <w:spacing w:after="0"/>
              <w:rPr>
                <w:sz w:val="15"/>
                <w:szCs w:val="15"/>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Opening Month</w:t>
            </w:r>
          </w:p>
        </w:tc>
        <w:tc>
          <w:tcPr>
            <w:tcW w:w="320" w:type="dxa"/>
            <w:vAlign w:val="bottom"/>
          </w:tcPr>
          <w:p>
            <w:pPr>
              <w:spacing w:after="0"/>
              <w:rPr>
                <w:sz w:val="15"/>
                <w:szCs w:val="15"/>
                <w:color w:val="auto"/>
              </w:rPr>
            </w:pPr>
          </w:p>
        </w:tc>
        <w:tc>
          <w:tcPr>
            <w:tcW w:w="424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 Floor Area</w:t>
            </w:r>
          </w:p>
        </w:tc>
      </w:tr>
      <w:tr>
        <w:trPr>
          <w:trHeight w:val="144"/>
        </w:trPr>
        <w:tc>
          <w:tcPr>
            <w:tcW w:w="940" w:type="dxa"/>
            <w:vAlign w:val="bottom"/>
            <w:tcBorders>
              <w:top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top w:val="single" w:sz="8" w:color="auto"/>
            </w:tcBorders>
          </w:tcPr>
          <w:p>
            <w:pPr>
              <w:jc w:val="right"/>
              <w:ind w:right="79"/>
              <w:spacing w:after="0" w:line="144" w:lineRule="exact"/>
              <w:rPr>
                <w:sz w:val="20"/>
                <w:szCs w:val="20"/>
                <w:color w:val="auto"/>
              </w:rPr>
            </w:pPr>
            <w:r>
              <w:rPr>
                <w:rFonts w:ascii="Times New Roman" w:cs="Times New Roman" w:eastAsia="Times New Roman" w:hAnsi="Times New Roman"/>
                <w:sz w:val="14"/>
                <w:szCs w:val="14"/>
                <w:b w:val="1"/>
                <w:bCs w:val="1"/>
                <w:color w:val="auto"/>
              </w:rPr>
              <w:t>(In square feet)</w:t>
            </w:r>
          </w:p>
        </w:tc>
        <w:tc>
          <w:tcPr>
            <w:tcW w:w="320" w:type="dxa"/>
            <w:vAlign w:val="bottom"/>
            <w:gridSpan w:val="2"/>
          </w:tcPr>
          <w:p>
            <w:pPr>
              <w:spacing w:after="0"/>
              <w:rPr>
                <w:sz w:val="12"/>
                <w:szCs w:val="12"/>
                <w:color w:val="auto"/>
              </w:rPr>
            </w:pPr>
          </w:p>
        </w:tc>
      </w:tr>
      <w:tr>
        <w:trPr>
          <w:trHeight w:val="191"/>
        </w:trPr>
        <w:tc>
          <w:tcPr>
            <w:tcW w:w="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Nicosia</w:t>
            </w:r>
          </w:p>
        </w:tc>
        <w:tc>
          <w:tcPr>
            <w:tcW w:w="3620" w:type="dxa"/>
            <w:vAlign w:val="bottom"/>
            <w:gridSpan w:val="2"/>
            <w:shd w:val="clear" w:color="auto" w:fill="CCEEFF"/>
          </w:tcPr>
          <w:p>
            <w:pPr>
              <w:ind w:left="2040"/>
              <w:spacing w:after="0" w:line="191" w:lineRule="exact"/>
              <w:rPr>
                <w:sz w:val="20"/>
                <w:szCs w:val="20"/>
                <w:color w:val="auto"/>
              </w:rPr>
            </w:pPr>
            <w:r>
              <w:rPr>
                <w:rFonts w:ascii="Times New Roman" w:cs="Times New Roman" w:eastAsia="Times New Roman" w:hAnsi="Times New Roman"/>
                <w:sz w:val="17"/>
                <w:szCs w:val="17"/>
                <w:color w:val="auto"/>
              </w:rPr>
              <w:t>December 2018</w:t>
            </w:r>
          </w:p>
        </w:tc>
        <w:tc>
          <w:tcPr>
            <w:tcW w:w="4560" w:type="dxa"/>
            <w:vAlign w:val="bottom"/>
            <w:gridSpan w:val="3"/>
            <w:shd w:val="clear" w:color="auto" w:fill="CCEEFF"/>
          </w:tcPr>
          <w:p>
            <w:pPr>
              <w:ind w:left="320"/>
              <w:spacing w:after="0" w:line="191" w:lineRule="exact"/>
              <w:rPr>
                <w:sz w:val="20"/>
                <w:szCs w:val="20"/>
                <w:color w:val="auto"/>
              </w:rPr>
            </w:pPr>
            <w:r>
              <w:rPr>
                <w:rFonts w:ascii="Times New Roman" w:cs="Times New Roman" w:eastAsia="Times New Roman" w:hAnsi="Times New Roman"/>
                <w:sz w:val="17"/>
                <w:szCs w:val="17"/>
                <w:color w:val="auto"/>
              </w:rPr>
              <w:t>Neas Engomis Street No.35, Engomi,</w:t>
            </w: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41"/>
        </w:trPr>
        <w:tc>
          <w:tcPr>
            <w:tcW w:w="9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2409 Nicosia, Cyprus.</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10,968</w:t>
            </w:r>
          </w:p>
        </w:tc>
        <w:tc>
          <w:tcPr>
            <w:tcW w:w="300" w:type="dxa"/>
            <w:vAlign w:val="bottom"/>
            <w:shd w:val="clear" w:color="auto" w:fill="CCEEFF"/>
          </w:tcPr>
          <w:p>
            <w:pPr>
              <w:spacing w:after="0"/>
              <w:rPr>
                <w:sz w:val="20"/>
                <w:szCs w:val="20"/>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Ayia Napa</w:t>
            </w:r>
          </w:p>
        </w:tc>
        <w:tc>
          <w:tcPr>
            <w:tcW w:w="3620" w:type="dxa"/>
            <w:vAlign w:val="bottom"/>
            <w:gridSpan w:val="2"/>
          </w:tcPr>
          <w:p>
            <w:pPr>
              <w:ind w:left="2040"/>
              <w:spacing w:after="0"/>
              <w:rPr>
                <w:sz w:val="20"/>
                <w:szCs w:val="20"/>
                <w:color w:val="auto"/>
              </w:rPr>
            </w:pPr>
            <w:r>
              <w:rPr>
                <w:rFonts w:ascii="Times New Roman" w:cs="Times New Roman" w:eastAsia="Times New Roman" w:hAnsi="Times New Roman"/>
                <w:sz w:val="17"/>
                <w:szCs w:val="17"/>
                <w:color w:val="auto"/>
              </w:rPr>
              <w:t>July 2019</w:t>
            </w:r>
          </w:p>
        </w:tc>
        <w:tc>
          <w:tcPr>
            <w:tcW w:w="45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Archiepiscopou Makariou III, 34 Ayia Napa, Cyprus</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5,834</w:t>
            </w:r>
          </w:p>
        </w:tc>
        <w:tc>
          <w:tcPr>
            <w:tcW w:w="300" w:type="dxa"/>
            <w:vAlign w:val="bottom"/>
          </w:tcPr>
          <w:p>
            <w:pPr>
              <w:spacing w:after="0"/>
              <w:rPr>
                <w:sz w:val="18"/>
                <w:szCs w:val="18"/>
                <w:color w:val="auto"/>
              </w:rPr>
            </w:pPr>
          </w:p>
        </w:tc>
      </w:tr>
      <w:tr>
        <w:trPr>
          <w:trHeight w:val="209"/>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Paphos</w:t>
            </w:r>
          </w:p>
        </w:tc>
        <w:tc>
          <w:tcPr>
            <w:tcW w:w="362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7"/>
                <w:szCs w:val="17"/>
                <w:color w:val="auto"/>
              </w:rPr>
              <w:t>February 2020</w:t>
            </w:r>
          </w:p>
        </w:tc>
        <w:tc>
          <w:tcPr>
            <w:tcW w:w="4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9 Theas Aphroditis 8204 Paphos, Cyprus</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4,273</w:t>
            </w:r>
          </w:p>
        </w:tc>
        <w:tc>
          <w:tcPr>
            <w:tcW w:w="300" w:type="dxa"/>
            <w:vAlign w:val="bottom"/>
            <w:shd w:val="clear" w:color="auto" w:fill="CCEEFF"/>
          </w:tcPr>
          <w:p>
            <w:pPr>
              <w:spacing w:after="0"/>
              <w:rPr>
                <w:sz w:val="18"/>
                <w:szCs w:val="18"/>
                <w:color w:val="auto"/>
              </w:rPr>
            </w:pP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21,075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4" w:lineRule="exact"/>
        <w:rPr>
          <w:sz w:val="20"/>
          <w:szCs w:val="20"/>
          <w:color w:val="auto"/>
        </w:rPr>
      </w:pPr>
    </w:p>
    <w:p>
      <w:pPr>
        <w:ind w:left="300" w:right="320" w:firstLine="960"/>
        <w:spacing w:after="0" w:line="276" w:lineRule="auto"/>
        <w:rPr>
          <w:sz w:val="20"/>
          <w:szCs w:val="20"/>
          <w:color w:val="auto"/>
        </w:rPr>
      </w:pPr>
      <w:r>
        <w:rPr>
          <w:rFonts w:ascii="Times New Roman" w:cs="Times New Roman" w:eastAsia="Times New Roman" w:hAnsi="Times New Roman"/>
          <w:sz w:val="17"/>
          <w:szCs w:val="17"/>
          <w:color w:val="auto"/>
        </w:rPr>
        <w:t>The leases for our three satellite casinos run up to March 31, 2028 for Nicosia, June 15, 2028 for Ayia Napa and February 14, 2029 for Paphos and are renewable for a further five-year term unless we elect not to renew those leases by giving at least six months’ notice prior to the expiration of the term.</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City of Dreams Sri Lanka</w:t>
      </w:r>
    </w:p>
    <w:p>
      <w:pPr>
        <w:spacing w:after="0" w:line="122"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The site for City of Dreams Sri Lanka is located in Colombo, Sri Lanka with a land area of approximately 2.8888 hectares (equivalent to approximately 310,947.54 square feet) and is owned by Waterfront Properties, a subsidiary of John Keells. The total gross floor area of the leased gaming and gaming support area at City of Dreams Sri Lanka is approximately 180,828.29 square feet.</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960"/>
          </w:cols>
          <w:pgMar w:left="320" w:top="472" w:right="6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Premises</w:t>
      </w:r>
    </w:p>
    <w:p>
      <w:pPr>
        <w:spacing w:after="0" w:line="12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Apart from the aforesaid property sites, we maintain various offices and storage locations in Macau, Hong Kong, Cyprus, Singapore, the Philippines, Sri Lanka and Thailand. We lease all of our office and storage premises.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Advertising and Marketing</w:t>
      </w:r>
    </w:p>
    <w:p>
      <w:pPr>
        <w:spacing w:after="0" w:line="120"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seek to attract customers to our properties and to grow our customer base over time by undertaking several forms of advertising, sales and marketing activities and plans. We utilize local and regional media to publicize and promote our brands, projects and operations across a wide range of online and offline channels. We have built public relations and marketing and branding teams that cultivate media relationships, promote our brands and explore media opportunities in various markets. We use a variety of media platforms that include social media, digital, print, television, online, outdoor, on collaterals and direct mail pieces. A resorts marketing team has been established that directly liaises with current and potential customers within Asian, European, Middle Eastern and other countries to grow and retain high-end customers. We organize various targeted and seasonal promotions and special events, concerts and other forms of entertainment, and operate loyalty programs with our patrons to increase spending and repeat visitation. In Macau, the Philippines, Cyprus and Sri Lanka, we employ a tiered loyalty program at our properties to ensure that each customer segment is specifically recognized and incentivized. Dedicated customer hosting programs provide personalized service to our most valuable customers. In addition, we utilize sophisticated analytical programs and capabilities to analyze the behavior and spending patterns of our patrons. We believe these tools help deepen our understanding of our customers to optimize yields and make continued improvements to our properties. As our advertising and marketing activities occur in various jurisdictions, we aim to ensure we comply with all applicable laws in relation to our advertising and marketing activities.</w:t>
      </w: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seek to cater to a broad range of customers through our diverse gaming and non-gaming facilities and amenities across our operating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properties.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Non-Gaming Patrons</w:t>
      </w:r>
    </w:p>
    <w:p>
      <w:pPr>
        <w:spacing w:after="0" w:line="122" w:lineRule="exact"/>
        <w:rPr>
          <w:sz w:val="20"/>
          <w:szCs w:val="20"/>
          <w:color w:val="auto"/>
        </w:rPr>
      </w:pPr>
    </w:p>
    <w:p>
      <w:pPr>
        <w:ind w:left="300" w:right="280" w:firstLine="960"/>
        <w:spacing w:after="0" w:line="269" w:lineRule="auto"/>
        <w:rPr>
          <w:sz w:val="20"/>
          <w:szCs w:val="20"/>
          <w:color w:val="auto"/>
        </w:rPr>
      </w:pPr>
      <w:r>
        <w:rPr>
          <w:rFonts w:ascii="Times New Roman" w:cs="Times New Roman" w:eastAsia="Times New Roman" w:hAnsi="Times New Roman"/>
          <w:sz w:val="17"/>
          <w:szCs w:val="17"/>
          <w:color w:val="auto"/>
        </w:rPr>
        <w:t>City of Dreams offers visitors to Macau an array of multi-dimensional entertainment amenities, four hotels (including The Countdown, which is currently under renovation), as well as a selection of restaurants, bars and retail outlets. Altira Macau caters to the premium mass and mass operations. Mocha Clubs are targeted to deliver a relaxed, café-style non-casino based electronic gaming experience. Studio City is designated to primarily target mass market guests through its vast array of non-gaming amenities and entertainment attractions.</w:t>
      </w:r>
    </w:p>
    <w:p>
      <w:pPr>
        <w:spacing w:after="0" w:line="169"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City of Dreams Manila features different entertainment venues: DreamPlay, a family entertainment center which features activities catering to children aged four and above, and CenterPlay, a live performance central lounge within the casino. With these diverse entertainment venues and attractions, we believe City of Dreams Manila will be able to leverage on the experiences of City of Dreams in Macau, which has developed world-class attractions such as House of Dancing Water.</w:t>
      </w:r>
    </w:p>
    <w:p>
      <w:pPr>
        <w:spacing w:after="0" w:line="169"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City of Dreams Mediterranean features a five-star hotel tower with 500 luxury hotel rooms, MICE facilities, an outdoor amphitheater, a family adventure park, tennis academy, spa, fitness center and a variety of fine-dining restaurants and luxury retail. Entertainment attractions, family amenities and non-gaming recreational activities attract both local and international visitors alike. The Cyprus Casinos do not specifically target non-gaming patrons but do offer a selection of food and beverage options at the premises.</w:t>
      </w:r>
    </w:p>
    <w:p>
      <w:pPr>
        <w:spacing w:after="0" w:line="169"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The integrated resort, City of Dreams Sri Lanka, features two five-star hotels with a combined total of 800 luxury hotel rooms, MICE facilities, spa, fitness center and a variety of fine-dining restaurants and luxury</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940"/>
          </w:cols>
          <w:pgMar w:left="320" w:top="472"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retail. We have leased an area within City of Dreams Sri Lanka to operate the Sri Lanka Casino. In addition, we manage the top five floors of City of Dreams Sri Lanka under our Nüwa brand, comprising a total of 113 luxury rooms and three dining restaurants and bars. The casino does not specifically target non-gaming patrons but does offer a selection of food and beverage options at the premises. Save for the casino, Nüwa Sri Lanka and the restaurants and bars located in the casino and the hotel, we do not manage or operate other parts of City of Dreams Sri Lanka.</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Patrons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gaming patrons include table game rolling chip patrons, table game mass market patrons and gaming machine players.</w:t>
      </w:r>
    </w:p>
    <w:p>
      <w:pPr>
        <w:spacing w:after="0" w:line="223"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Mass market patrons are non-rolling chip patrons who come to our properties for a variety of reasons, including our high-quality hotel brands, our broad dining options and a variety of other non-gaming attractions and activities.</w:t>
      </w:r>
    </w:p>
    <w:p>
      <w:pPr>
        <w:spacing w:after="0" w:line="147" w:lineRule="exact"/>
        <w:rPr>
          <w:sz w:val="20"/>
          <w:szCs w:val="20"/>
          <w:color w:val="auto"/>
        </w:rPr>
      </w:pPr>
    </w:p>
    <w:p>
      <w:pPr>
        <w:jc w:val="both"/>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Rolling chip patrons at our casinos are patrons who participate in our in-house rolling chip programs or, in some cases, in the rolling chip programs of gaming promoters. Our rolling chip patrons or premium direct players play mostly in our designated gaming areas and can earn a variety of gaming-related rebates, such as cash, rooms, food and beverage and other complimentary products or services.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Promoters</w:t>
      </w:r>
    </w:p>
    <w:p>
      <w:pPr>
        <w:spacing w:after="0" w:line="122"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A portion of our rolling chip play in Macau is brought to us by gaming promoters, also known as junket operators. Gaming promoters in Macau are independent third-party corporate entities, all of which are officially required to be licensed by the Secretary of Economy and Finance of Macau.</w:t>
      </w:r>
    </w:p>
    <w:p>
      <w:pPr>
        <w:spacing w:after="0" w:line="162" w:lineRule="exact"/>
        <w:rPr>
          <w:sz w:val="20"/>
          <w:szCs w:val="20"/>
          <w:color w:val="auto"/>
        </w:rPr>
      </w:pPr>
    </w:p>
    <w:p>
      <w:pPr>
        <w:ind w:left="300" w:right="720" w:firstLine="960"/>
        <w:spacing w:after="0" w:line="276" w:lineRule="auto"/>
        <w:rPr>
          <w:sz w:val="20"/>
          <w:szCs w:val="20"/>
          <w:color w:val="auto"/>
        </w:rPr>
      </w:pPr>
      <w:r>
        <w:rPr>
          <w:rFonts w:ascii="Times New Roman" w:cs="Times New Roman" w:eastAsia="Times New Roman" w:hAnsi="Times New Roman"/>
          <w:sz w:val="17"/>
          <w:szCs w:val="17"/>
          <w:color w:val="auto"/>
        </w:rPr>
        <w:t>We continue to work with gaming promoters in Cyprus and the Philippines. In Cyprus, there are currently three licensed gaming promoters. Gaming promoters in the Philippines are not subject to licensing requirements, but gaming operators are subject to certain notice requirements related to the engagement of gaming promoters and need to demonstrate the fitness and propriety of gaming promoters.</w:t>
      </w:r>
    </w:p>
    <w:p>
      <w:pPr>
        <w:spacing w:after="0" w:line="162"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We have procedures to screen prospective gaming promoters prior to their engagement and conduct periodic checks that are designed to ensure that the gaming promoters with whom we associate meet suitability standards. Where licensing requirements apply, we only engage gaming promoters who have been licensed by the relevant authority.</w:t>
      </w:r>
    </w:p>
    <w:p>
      <w:pPr>
        <w:spacing w:after="0" w:line="16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In the Philippines and Macau, our gaming promoters are compensated through commission arrangements that are calculated on a monthly or a per trip basis. In the Philippines, we generally offer commission payment structures that are calculated by reference to revenue share or monthly rolling chip volume. In Macau, we offer commission payment structures that are calculated by reference to the monthly rolling chip volume. Under the revenue share-based arrangements, the gaming promoter participates in our gaming wins or losses from the rolling chip patrons brought in by the gaming promoter. In Cyprus, our gaming promoters are compensated through a profit sharing scheme. Our gaming promoters in the Philippines, Macau and Cyprus may also receive complimentary allowances for food and beverage, hotel accommodation and transportation.</w:t>
      </w:r>
    </w:p>
    <w:p>
      <w:pPr>
        <w:spacing w:after="0" w:line="17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conduct, and expect to continue to conduct, our table gaming activities at our casinos on a credit basis as well as a cash basis. In the Philippines, we grant interest-free credit to gaming promoters for short-term, renewable periods. The credit we extend is typically unsecured. The gaming promoters bear the responsibility for issuing credit to and, subsequently collecting, from their players. Gaming promoters’ rolling chip programs are currently not implemented in Cyprus due to a lack of demand. See “Item 3. Key Information — D. Risk Factors — Risks Relating to Our Business and Operations —We depend upon gaming promoters for a portion of our</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920"/>
          </w:cols>
          <w:pgMar w:left="320" w:top="472" w:right="6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gaming revenues. If we are unable to establish or maintain the number of successful relationships with gaming promoters,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 and “— Risks Relating to Our Business and Operations — We extend credit to a portion of our customers, and we may not be able to collect gaming receivables from our credit customers.”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Market and Competition</w:t>
      </w:r>
    </w:p>
    <w:p>
      <w:pPr>
        <w:spacing w:after="0" w:line="120"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We believe that the gaming markets in Macau and the Philippines are and will continue to be intensely competitive. Our competitors in Macau and elsewhere in Asia include all the current concession holders, other PAGCOR license holders and many of the largest gaming, hospitality, leisure and property development companies in the world. Some of these current and future competitors are larger than us and have significantly longer track records in the operation of major hotel casino resort properties. Compared to Macau and the Philippines, the competitive environment in Cyprus is more favorable with our exclusive license to operate casinos in the Republic of Cyprus until 2032, but we may face competition from casinos in the occupied part of Cyprus or from casinos in nearby parts of Europe and the Middle East. The gaming market in Sri Lanka is competitive with four other existing casinos operating in Colombo.</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Gaming Market</w:t>
      </w:r>
    </w:p>
    <w:p>
      <w:pPr>
        <w:spacing w:after="0" w:line="122"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In 2025, 2024 and 2023, Macau generated approximately US$30.9 billion, US$28.3 billion and US$22.8 billion of gross gaming revenue, respectively, according to the DICJ. Macau is currently the only market in China, and one of only several in Asia, to offer legalized casino gaming. </w:t>
      </w:r>
    </w:p>
    <w:p>
      <w:pPr>
        <w:spacing w:after="0" w:line="147"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Macau continues to be impacted by a range of external factors, including uneven growth in the China economy and government policies that may adversely affect the Macau gaming market. For example, the PRC government has taken measures to deter marketing of gaming activities to mainland China residents by offshore casinos and to reduce capital outflow. Such measures include reducing the amount that mainland China-issued ATM cardholders can withdraw in each withdrawal, setting a limit for annual withdrawals and the launch of facial recognition and identity card checks with respect to certain ATM users.</w:t>
      </w:r>
    </w:p>
    <w:p>
      <w:pPr>
        <w:spacing w:after="0" w:line="171"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mass market table games segment accounted for 66.9% of market-wide gross gaming revenues in 2025, compared to 70.2% of market-wide gross gaming revenues in 2024 and 69.4% of market-wide gross gaming revenues in 2023, according to the DICJ. With our strategic focus on the premium mass market in the Cotai region, we believe we are well positioned to cater to this increasingly important, and more profitable, segment of the market. Moreover, we believe the long-term growth in gaming and non-gaming revenues in Macau are supported by, among other things, the continuing emergence of a wealthier demographic in China, a robust regulatory framework and significant new infrastructure developments in Macau and China, as well as by the anticipated new supply of gaming and non-gaming facilities in Macau, which is predominantly focused on the Cotai region. According to the DSEC, visitation to Macau totaled more than 40.1 million in 2025, an increase of 14.7% compared to 2024 and above the 39.4 million visitors in 2019. Visitors from mainland China represented 72.4% of all visitors to Macau in 2025, compared to 70.1% in 2024, and visitors from Hong Kong and Taiwan represented 18.2% and 2.5%, of all visitors to Macau in 2025, respectively.</w:t>
      </w:r>
    </w:p>
    <w:p>
      <w:pPr>
        <w:spacing w:after="0" w:line="178"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In terms of competition, gaming in Macau is administered through concessions awarded by the Macau government to six different concessionaires: Melco Resorts Macau; SJM, in which family members of Mr. Lawrence Ho, our chairman and chief executive officer, have shareholding interests; Wynn Macau, a subsidiary of Wynn Resorts Ltd.; Galaxy; MGM Grand Paradise, which was originally formed as a joint venture by MGM-Mirage and Ms. Pansy Ho, sister of Mr. Lawrence Ho; and VML, a subsidiary of Sands China Ltd and Las Vegas Sands Corporation.</w:t>
      </w:r>
    </w:p>
    <w:p>
      <w:pPr>
        <w:spacing w:after="0" w:line="1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920"/>
          </w:cols>
          <w:pgMar w:left="320" w:top="472" w:right="6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SJM currently operates multiple casinos throughout Macau. SJM (through its predecessor, Tourism and Entertainment Company of Macau Limited) commenced its gaming operations in Macau in 1962. In July 2021, SJM opened Grand Lisboa Palace, in Cotai. SJM opened The Karl Lagerfeld and Palazzo Versace Macau, respectively, in June and November 2023.</w:t>
      </w:r>
    </w:p>
    <w:p>
      <w:pPr>
        <w:spacing w:after="0" w:line="162"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Wynn Macau opened the Wynn Macau in September 2006 on the Macau peninsula and an extension called Encore in 2010. In August 2016, Wynn Macau opened Wynn Palace, in Cotai.</w:t>
      </w:r>
    </w:p>
    <w:p>
      <w:pPr>
        <w:spacing w:after="0" w:line="147" w:lineRule="exact"/>
        <w:rPr>
          <w:sz w:val="20"/>
          <w:szCs w:val="20"/>
          <w:color w:val="auto"/>
        </w:rPr>
      </w:pPr>
    </w:p>
    <w:p>
      <w:pPr>
        <w:ind w:left="300" w:right="200" w:firstLine="960"/>
        <w:spacing w:after="0" w:line="269" w:lineRule="auto"/>
        <w:rPr>
          <w:sz w:val="20"/>
          <w:szCs w:val="20"/>
          <w:color w:val="auto"/>
        </w:rPr>
      </w:pPr>
      <w:r>
        <w:rPr>
          <w:rFonts w:ascii="Times New Roman" w:cs="Times New Roman" w:eastAsia="Times New Roman" w:hAnsi="Times New Roman"/>
          <w:sz w:val="17"/>
          <w:szCs w:val="17"/>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2023, while Phase 4 is currently under development, and construction is expected to be completed in 2027.</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VML operates Sands Macao on the Macau peninsula, The Venetian Macao, the Plaza Casino at The Four Seasons Hotel Macao and the Parisian Macao. VML also operated Sands Cotai Central in Cotai in the past, which has been rebranded and redeveloped as The Londoner Macao, which opened in February 2021. The former Sheraton Grand was renovated and has been rebranded as the Londoner Grand, which opened in June 2025.</w:t>
      </w:r>
    </w:p>
    <w:p>
      <w:pPr>
        <w:spacing w:after="0" w:line="162" w:lineRule="exact"/>
        <w:rPr>
          <w:sz w:val="20"/>
          <w:szCs w:val="20"/>
          <w:color w:val="auto"/>
        </w:rPr>
      </w:pPr>
    </w:p>
    <w:p>
      <w:pPr>
        <w:ind w:left="300" w:right="640" w:firstLine="960"/>
        <w:spacing w:after="0" w:line="295" w:lineRule="auto"/>
        <w:rPr>
          <w:sz w:val="20"/>
          <w:szCs w:val="20"/>
          <w:color w:val="auto"/>
        </w:rPr>
      </w:pPr>
      <w:r>
        <w:rPr>
          <w:rFonts w:ascii="Times New Roman" w:cs="Times New Roman" w:eastAsia="Times New Roman" w:hAnsi="Times New Roman"/>
          <w:sz w:val="17"/>
          <w:szCs w:val="17"/>
          <w:color w:val="auto"/>
        </w:rPr>
        <w:t>MGM Grand Paradise opened its MGM Macau facilities in December 2007, which are located next to Wynn Macau on the Macau peninsula, and its MGM Cotai resort in February 2018.</w:t>
      </w:r>
    </w:p>
    <w:p>
      <w:pPr>
        <w:spacing w:after="0" w:line="147"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62"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The existing concessions do not place any limits on the number of gaming facilities that may be operated. The Macau government does, however, limit the aggregate number of gaming tables and gaming machines in Macau and the opening of a new facility is subject to Macau government approval. The current cap of gaming tables and gaming machines are 6,000 and 12,000 respectively.</w:t>
      </w:r>
    </w:p>
    <w:p>
      <w:pPr>
        <w:spacing w:after="0" w:line="162"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Law no. 7/2022 which amends the Macau Gaming Operations Law (Law no. 16/2001) came into force in June 2022. Principal changes under the amended Macau Gaming Operations Law include, among others, the following:</w:t>
      </w:r>
    </w:p>
    <w:p>
      <w:pPr>
        <w:spacing w:after="0" w:line="55" w:lineRule="exact"/>
        <w:rPr>
          <w:sz w:val="20"/>
          <w:szCs w:val="20"/>
          <w:color w:val="auto"/>
        </w:rPr>
      </w:pPr>
    </w:p>
    <w:p>
      <w:pPr>
        <w:ind w:left="1240" w:hanging="53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gaming concessions that may be awarded by the Macau government is up to six;</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the concessions may be up to ten years, subject to extension(s) of up to three years in total;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 capital of each concessionaire shall be at least MOP5 billion (equivalent to approximately US$623.9 million);</w:t>
      </w:r>
    </w:p>
    <w:p>
      <w:pPr>
        <w:spacing w:after="0" w:line="131"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director of each concessionaire must be a Macau permanent resident and hold at least 15% of the concessionaire’s registered share capital;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transactions should be notified by concessionaires to the Macau government in advance;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administrative sanctions regime is established;</w:t>
      </w:r>
    </w:p>
    <w:p>
      <w:pPr>
        <w:spacing w:after="0" w:line="131" w:lineRule="exact"/>
        <w:rPr>
          <w:rFonts w:ascii="Times New Roman" w:cs="Times New Roman" w:eastAsia="Times New Roman" w:hAnsi="Times New Roman"/>
          <w:sz w:val="17"/>
          <w:szCs w:val="17"/>
          <w:color w:val="auto"/>
        </w:rPr>
      </w:pPr>
    </w:p>
    <w:p>
      <w:pPr>
        <w:ind w:left="1240" w:right="680" w:hanging="530"/>
        <w:spacing w:after="0" w:line="295"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security is one of the main objectives of the Macau gaming legal framework and a concession may be terminated without compensation in case it is considered a threat to national security;</w:t>
      </w:r>
    </w:p>
    <w:p>
      <w:pPr>
        <w:spacing w:after="0" w:line="55"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 gaming table and per gaming machine special premium is due should gross gaming revenue fall below the gross gaming revenue threshold set by the Macau government;</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960"/>
          </w:cols>
          <w:pgMar w:left="320" w:top="472" w:right="6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640" w:hanging="530"/>
        <w:spacing w:after="0" w:line="295"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sets the maximum number of gaming tables and gaming machines allocated to each concessionaire and the allocation of such gaming tables and gaming machines to a specific casino is subject to the approval of the Macau government;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may reduce the number of gaming tables or gaming machines in certain circumstances;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gaming chips of each concessionaire in circulation is subject to Macau government approval; and</w:t>
      </w:r>
    </w:p>
    <w:p>
      <w:pPr>
        <w:spacing w:after="0" w:line="131"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160" w:lineRule="exact"/>
        <w:rPr>
          <w:sz w:val="20"/>
          <w:szCs w:val="20"/>
          <w:color w:val="auto"/>
        </w:rPr>
      </w:pPr>
    </w:p>
    <w:p>
      <w:pPr>
        <w:ind w:left="300" w:right="680" w:firstLine="960"/>
        <w:spacing w:after="0" w:line="298"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Item 4. Information on the Company — B. Business Overview — Regulations — Macau Regulations — Gaming Operation Regulations” for a discussion of the amendments made to the gaming law in Macau.</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Philippine Gaming Market</w:t>
      </w:r>
    </w:p>
    <w:p>
      <w:pPr>
        <w:spacing w:after="0" w:line="122"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The Philippine economy has been one of the faster growing economies in the region, with favorable demographics and consumer spending that are beneficial to the Philippine gaming market. City of Dreams Manila, however, presently faces stronger competition in the Philippine market from hotels and resorts owned by both Philippine nationals and foreigners, including many of the largest gaming, hospitality, leisure and resort companies in the world, such as Travellers International Hotel Group, Inc., Bloomberry Resorts Corporation and Tiger Resorts Leisure and Entertainment Inc. as well as the Philippine Amusement and Gaming Corporation, an entity owned and controlled by the government of the Philippines, which operates certain gaming facilities across the Philippines. In 2025, Bloomberry Resorts Corporation opened Solaire Resort North in Quezon City, and Suntrust Resort Holdings is expected to open its integrated resort in Westside City, Manila in the second half of 2026.</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Cyprus Gaming Market</w:t>
      </w:r>
    </w:p>
    <w:p>
      <w:pPr>
        <w:spacing w:after="0" w:line="122"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We currently operate City of Dreams Mediterranean and three satellite casinos in Cyprus. In June 2023, we ceased operations of the temporary casino, which was opened in Limassol in June 2018 as the first licensed casino in Cyprus. We opened two satellite casinos in Nicosia and Larnaca in December 2018, one satellite casino in Ayia Napa in July 2019 and one satellite casino in Paphos in February 2020. In June 2020, we ceased operations of the satellite casino in Larnaca. In July 2023, City of Dreams Mediterranean was opened to the public. Although we have an exclusive license to operate casinos in the Republic of Cyprus until 2032, we may face competition from casinos in the occupied part of Cyprus or from casinos in nearby parts of Europe and the Middle East, such as the expected openings of the Hard Rock Hotel &amp; Casino Integrated Resort and the Wynn Al Marjan Island in the UAE in 2027.</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Sri Lanka Gaming Market</w:t>
      </w:r>
    </w:p>
    <w:p>
      <w:pPr>
        <w:spacing w:after="0" w:line="122"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The gaming market in Sri Lanka is evolving, with a mix of established players and new entrants. Currently, City of Dreams Sri Lanka faces competition from four other existing casinos in Colombo. The market is characterized by a focus on table games and high-stakes gambling.</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Regional Markets</w:t>
      </w:r>
    </w:p>
    <w:p>
      <w:pPr>
        <w:spacing w:after="0" w:line="122"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We may also face competition from casinos and gaming resorts located in other Asian or European destinations together with cruise ships. Casinos and integrated gaming resorts are becoming increasingly popular</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960"/>
          </w:cols>
          <w:pgMar w:left="320" w:top="472" w:right="6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spacing w:after="0" w:line="264" w:lineRule="auto"/>
        <w:rPr>
          <w:sz w:val="20"/>
          <w:szCs w:val="20"/>
          <w:color w:val="auto"/>
        </w:rPr>
      </w:pPr>
      <w:r>
        <w:rPr>
          <w:rFonts w:ascii="Times New Roman" w:cs="Times New Roman" w:eastAsia="Times New Roman" w:hAnsi="Times New Roman"/>
          <w:sz w:val="17"/>
          <w:szCs w:val="17"/>
          <w:color w:val="auto"/>
        </w:rPr>
        <w:t>in Asia, giving rise to more opportunities for industry participants and increasing regional competition. In the Philippines, there are five major gaming facilities in metro Manila, including City of Dreams Manila, with a sixth gaming facility scheduled to open in 2026. There are two major gaming facilities in Singapore located on Sentosa and at Marina Bay and an international gaming resort in Malaysia located approximately a one-hour drive from Kuala Lumpur. South Korea has allowed gaming for some time but these offerings are available primarily to foreign visitors. There are also casinos in Vietnam and Cambodia, and major gaming facilities in Australia located in Melbourne, Perth, Sydney and the Gold Coast. Vietnam launched a 5-year pilot program in November 2025 to allow local gaming at certain casino resorts.</w:t>
      </w:r>
    </w:p>
    <w:p>
      <w:pPr>
        <w:spacing w:after="0" w:line="173"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In Japan, a proposed project in Osaka was awarded to MGM Resorts International and its joint venture partner Orix Corporation which is currently scheduled to open in 2030.</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0"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Macau, our principal market of operation, experiences many peaks and seasonal effects. The “Golden Week” and “Chinese New Year” holidays are in general the key periods where business and visitation increase considerably in Macau. In the Philippines, business considerably slows down during the “Holy Week,” as well as during the “Chinese New Year” and the “Chinese Ghost Month.” In Cyprus, summer is generally the key period where business and visitation experience significant increase, while business considerably slows down during winter. While we may experience fluctuations in revenues and cash flows from month to month, we do not believe that our business is materially impacted by seasonality.</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20"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have applied for, registered or have the right to use certain trademarks, including “Melco,” “Altira,” “Mocha Club,” “City of Dreams,” “Nüwa,” “Morpheus,” “House of Dancing Water,” “City of Dreams Manila,” “Studio City,” “Melco Resorts Philippines,” “C2”, “Melco Resorts &amp; Entertainment,” “City of Dreams Mediterranean” and “City of Dreams Sri Lanka” in Macau, the Philippines, Cyprus, Sri Lanka and/or other jurisdictions. We have also applied for or registered in Macau, the Philippines, Cyprus and other jurisdictions certain other trademarks and service marks used in connection with the operations of our hotel casino projects in Macau, the Philippines, Cyprus and Sri Lanka.</w:t>
      </w:r>
    </w:p>
    <w:p>
      <w:pPr>
        <w:spacing w:after="0" w:line="171"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For our license or hotel management agreements that are required for our operations, see “Item 5. Operating and Financial Review and Prospects — C. Research and Development, Patents and Licenses, etc.”</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Operation Regulations</w:t>
      </w:r>
    </w:p>
    <w:p>
      <w:pPr>
        <w:spacing w:after="0" w:line="122"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The ownership and operation of casino gaming facilities in Macau are subject to the general civil and commercial laws and specific gaming laws, in particular, Law no. 16/2001, as amended in June 2022 pursuant Law no. 7/2022, or the Macau Gaming Operations Law. Macau’s gaming operations are also subject to the grant of a concession by, and regulatory control of, the Macau government. See “— Gaming Licenses” below for more details.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DICJ is the supervisory authority and regulator of the gaming industry in Macau. The core functions of the DICJ are:</w:t>
      </w:r>
    </w:p>
    <w:p>
      <w:pPr>
        <w:spacing w:after="0" w:line="131" w:lineRule="exact"/>
        <w:rPr>
          <w:sz w:val="20"/>
          <w:szCs w:val="20"/>
          <w:color w:val="auto"/>
        </w:rPr>
      </w:pPr>
    </w:p>
    <w:p>
      <w:pPr>
        <w:ind w:left="1240" w:hanging="530"/>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collaborate in the definition of gaming policies;</w:t>
      </w:r>
    </w:p>
    <w:p>
      <w:pPr>
        <w:spacing w:after="0" w:line="131" w:lineRule="exact"/>
        <w:rPr>
          <w:rFonts w:ascii="Times New Roman" w:cs="Times New Roman" w:eastAsia="Times New Roman" w:hAnsi="Times New Roman"/>
          <w:sz w:val="17"/>
          <w:szCs w:val="17"/>
          <w:color w:val="auto"/>
        </w:rPr>
      </w:pPr>
    </w:p>
    <w:p>
      <w:pPr>
        <w:ind w:left="5500" w:right="5180" w:hanging="4790"/>
        <w:spacing w:after="0" w:line="356"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supervise and monitor the activities of the concessionaires; 100</w:t>
      </w:r>
    </w:p>
    <w:p>
      <w:pPr>
        <w:sectPr>
          <w:pgSz w:w="11900" w:h="16838" w:orient="portrait"/>
          <w:cols w:equalWidth="0" w:num="1">
            <w:col w:w="10940"/>
          </w:cols>
          <w:pgMar w:left="320" w:top="472"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investigate and monitor the continuing suitability and financial capacity requirements of concessionaires and gaming promoters;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issue licenses to gaming promoters;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license and certify gaming equipment;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issue directives and recommend practices with respect to the ordinary operation of casinos.</w:t>
      </w:r>
    </w:p>
    <w:p>
      <w:pPr>
        <w:spacing w:after="0" w:line="223"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Below are the main features of the Macau Gaming Operations Law, including amended provisions, as supplemented by Administrative Regulation no. 26/2001 (as amended in July 2022 pursuant to Administrative Regulation no. 28/2022), that are currently applicable to our business.</w:t>
      </w:r>
    </w:p>
    <w:p>
      <w:pPr>
        <w:spacing w:after="0" w:line="55" w:lineRule="exact"/>
        <w:rPr>
          <w:sz w:val="20"/>
          <w:szCs w:val="20"/>
          <w:color w:val="auto"/>
        </w:rPr>
      </w:pPr>
    </w:p>
    <w:p>
      <w:pPr>
        <w:ind w:left="1240" w:hanging="530"/>
        <w:spacing w:after="0" w:line="262"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we breach the Macau Gaming Operations Law, Melco Resorts Macau’s Concession Contract could be limited, conditioned, suspended or revoked, subject to compliance with certain statutory and regulatory procedures. In addition, we, and the persons involved, could be subject to substantial fines for each separate breach of Macau Gaming Operations Law or of the Concession Contract at the discretion of the Macau government. Further, if we terminate or suspend the operation of all or a part of our gaming operations without permission for reasons not due to </w:t>
      </w:r>
      <w:r>
        <w:rPr>
          <w:rFonts w:ascii="Times New Roman" w:cs="Times New Roman" w:eastAsia="Times New Roman" w:hAnsi="Times New Roman"/>
          <w:sz w:val="17"/>
          <w:szCs w:val="17"/>
          <w:i w:val="1"/>
          <w:iCs w:val="1"/>
          <w:color w:val="auto"/>
        </w:rPr>
        <w:t>force majeure</w:t>
      </w:r>
      <w:r>
        <w:rPr>
          <w:rFonts w:ascii="Times New Roman" w:cs="Times New Roman" w:eastAsia="Times New Roman" w:hAnsi="Times New Roman"/>
          <w:sz w:val="17"/>
          <w:szCs w:val="17"/>
          <w:color w:val="auto"/>
        </w:rPr>
        <w:t>, or in the event of serious disruptions or deficiencies in our organization and operation or in the general condition of our facilities and equipment which may affect the normal operation of our gaming business, the Macau government would be entitled to replace Melco Resorts Macau during such disruption and to ensure the continued operation of the gaming business. Under such circumstances, we would bear the expenses required for maintaining the normal operation of the gaming business.</w:t>
      </w:r>
    </w:p>
    <w:p>
      <w:pPr>
        <w:spacing w:after="0" w:line="83"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also has the power to supervise concessionaires in order to assure financial stability and capability. See “— Gaming Licenses — The Concession Contract in Macau.”</w:t>
      </w:r>
    </w:p>
    <w:p>
      <w:pPr>
        <w:spacing w:after="0" w:line="55" w:lineRule="exact"/>
        <w:rPr>
          <w:rFonts w:ascii="Times New Roman" w:cs="Times New Roman" w:eastAsia="Times New Roman" w:hAnsi="Times New Roman"/>
          <w:sz w:val="17"/>
          <w:szCs w:val="17"/>
          <w:color w:val="auto"/>
        </w:rPr>
      </w:pPr>
    </w:p>
    <w:p>
      <w:pPr>
        <w:ind w:left="1240" w:right="200" w:hanging="530"/>
        <w:spacing w:after="0" w:line="264"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Melco Resorts Macau may be subject to administrative sanctions if, after it receives notice that a person is unsuitable to be a shareholder or to have any other relationship with it, Melco Resorts Macau:</w:t>
      </w:r>
    </w:p>
    <w:p>
      <w:pPr>
        <w:spacing w:after="0" w:line="82"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 that person any dividend or interest upon its shares;</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allows that person to exercise, directly or indirectly, any voting right conferred through shares held by that person;</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 remuneration in any form to that person for services rendered or otherwise; or</w:t>
      </w:r>
    </w:p>
    <w:p>
      <w:pPr>
        <w:spacing w:after="0" w:line="131"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fails to pursue all lawful efforts to require that unsuitable person to relinquish his or her shares.</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also requires prior approval for the creation of a lien over shares or gaming equipment and utensils of a concession holder.</w:t>
      </w:r>
    </w:p>
    <w:p>
      <w:pPr>
        <w:spacing w:after="0" w:line="55" w:lineRule="exact"/>
        <w:rPr>
          <w:rFonts w:ascii="Times New Roman" w:cs="Times New Roman" w:eastAsia="Times New Roman" w:hAnsi="Times New Roman"/>
          <w:sz w:val="17"/>
          <w:szCs w:val="17"/>
          <w:color w:val="auto"/>
        </w:rPr>
      </w:pPr>
    </w:p>
    <w:p>
      <w:pPr>
        <w:jc w:val="both"/>
        <w:ind w:left="1240" w:right="20" w:hanging="530"/>
        <w:spacing w:after="0" w:line="269"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gaming concessions is six.</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940"/>
          </w:cols>
          <w:pgMar w:left="320" w:top="472"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1240" w:right="360" w:hanging="530"/>
        <w:spacing w:after="0" w:line="276"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a gaming concession is set in the concession contract and cannot exceed ten years but the Chief Executive of Macau may exceptionally authorize, based on justified reasons, one or more extensions of the term of the concession up to the total period of three years.</w:t>
      </w:r>
    </w:p>
    <w:p>
      <w:pPr>
        <w:spacing w:after="0" w:line="70"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w:t>
      </w:r>
    </w:p>
    <w:p>
      <w:pPr>
        <w:spacing w:after="0" w:line="70" w:lineRule="exact"/>
        <w:rPr>
          <w:rFonts w:ascii="Times New Roman" w:cs="Times New Roman" w:eastAsia="Times New Roman" w:hAnsi="Times New Roman"/>
          <w:sz w:val="17"/>
          <w:szCs w:val="17"/>
          <w:color w:val="auto"/>
        </w:rPr>
      </w:pPr>
    </w:p>
    <w:p>
      <w:pPr>
        <w:ind w:left="1240" w:right="40" w:hanging="530"/>
        <w:spacing w:after="0" w:line="266"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registered share capital shall not be less than MOP5 billion (equivalent to approximately US$623.9 million) and during the term of the concession their net assets shall not be less than such amount. The concessionaires must mandatorily notify the Chief Executive of Macau prior to executing large financial initiatives, which are defined as those with a value greater than MOP2.5 billion (equivalent to approximately US$311.9 million) regarding the internal movement of funds and MOP500 million (equivalent to approximately US$62.4 million) regarding salaries, remunerations, benefits of employees, and any other financial decisions.</w:t>
      </w:r>
    </w:p>
    <w:p>
      <w:pPr>
        <w:spacing w:after="0" w:line="79" w:lineRule="exact"/>
        <w:rPr>
          <w:rFonts w:ascii="Times New Roman" w:cs="Times New Roman" w:eastAsia="Times New Roman" w:hAnsi="Times New Roman"/>
          <w:sz w:val="17"/>
          <w:szCs w:val="17"/>
          <w:color w:val="auto"/>
        </w:rPr>
      </w:pPr>
    </w:p>
    <w:p>
      <w:pPr>
        <w:ind w:left="1240" w:right="160" w:hanging="530"/>
        <w:spacing w:after="0" w:line="266"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w:t>
      </w:r>
    </w:p>
    <w:p>
      <w:pPr>
        <w:spacing w:after="0" w:line="79"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w:t>
      </w:r>
    </w:p>
    <w:p>
      <w:pPr>
        <w:spacing w:after="0" w:line="70" w:lineRule="exact"/>
        <w:rPr>
          <w:rFonts w:ascii="Times New Roman" w:cs="Times New Roman" w:eastAsia="Times New Roman" w:hAnsi="Times New Roman"/>
          <w:sz w:val="17"/>
          <w:szCs w:val="17"/>
          <w:color w:val="auto"/>
        </w:rPr>
      </w:pPr>
    </w:p>
    <w:p>
      <w:pPr>
        <w:ind w:left="1240" w:right="20" w:hanging="530"/>
        <w:spacing w:after="0" w:line="260"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in properties that are not owned by them for a period of three years from January 1, 2023 under authorization of the Chief Executive of Macau. After the end of such three-year transition period the concessionaires may only continue to operate games of chance in properties that are not owned by them by engaging a managing company, such engagement to be subject to the Chief Executive of Macau’s approval. If such locations are closed pursuant to the law or the concession contracts, new operation of games of chance in casino will not be permitted in such locations. The Macau government owns the City of Dreams, Altira and Studio City Casinos gaming and gaming support areas, and the Macau government has transferred these areas to us for usage in our operations during the duration of the concession for a fee of MOP750.00 (equivalent to approximately US$94) per square meter for years 1 to 3 of the Concession Contract, subject to consumer price index increase in years 2 and 3 of the concession. The fee will increase to MOP2,500.00 (equivalent to approximately US$312) per square meter for years 4 to 10 of the concession, subject to consumer price index increase in years 5 to 10 of the concession.</w:t>
      </w:r>
    </w:p>
    <w:p>
      <w:pPr>
        <w:spacing w:after="0" w:line="85" w:lineRule="exact"/>
        <w:rPr>
          <w:rFonts w:ascii="Times New Roman" w:cs="Times New Roman" w:eastAsia="Times New Roman" w:hAnsi="Times New Roman"/>
          <w:sz w:val="17"/>
          <w:szCs w:val="17"/>
          <w:color w:val="auto"/>
        </w:rPr>
      </w:pPr>
    </w:p>
    <w:p>
      <w:pPr>
        <w:ind w:left="1240" w:right="60" w:hanging="530"/>
        <w:spacing w:after="0" w:line="266"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940"/>
          </w:cols>
          <w:pgMar w:left="320" w:top="472"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80" w:hanging="530"/>
        <w:spacing w:after="0" w:line="276"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w:t>
      </w:r>
    </w:p>
    <w:p>
      <w:pPr>
        <w:spacing w:after="0" w:line="70" w:lineRule="exact"/>
        <w:rPr>
          <w:rFonts w:ascii="Times New Roman" w:cs="Times New Roman" w:eastAsia="Times New Roman" w:hAnsi="Times New Roman"/>
          <w:sz w:val="17"/>
          <w:szCs w:val="17"/>
          <w:color w:val="auto"/>
        </w:rPr>
      </w:pPr>
    </w:p>
    <w:p>
      <w:pPr>
        <w:ind w:left="1240" w:right="20" w:hanging="530"/>
        <w:spacing w:after="0" w:line="263"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w:t>
      </w:r>
    </w:p>
    <w:p>
      <w:pPr>
        <w:spacing w:after="0" w:line="81" w:lineRule="exact"/>
        <w:rPr>
          <w:rFonts w:ascii="Times New Roman" w:cs="Times New Roman" w:eastAsia="Times New Roman" w:hAnsi="Times New Roman"/>
          <w:sz w:val="17"/>
          <w:szCs w:val="17"/>
          <w:color w:val="auto"/>
        </w:rPr>
      </w:pPr>
    </w:p>
    <w:p>
      <w:pPr>
        <w:ind w:left="1240" w:right="400" w:hanging="530"/>
        <w:spacing w:after="0" w:line="295"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must have a managing-director who is a Macau permanent resident and holds at least 15% of the registered share capital of the concessionaire.</w:t>
      </w:r>
    </w:p>
    <w:p>
      <w:pPr>
        <w:spacing w:after="0" w:line="55"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w:t>
      </w:r>
    </w:p>
    <w:p>
      <w:pPr>
        <w:spacing w:after="0" w:line="70" w:lineRule="exact"/>
        <w:rPr>
          <w:rFonts w:ascii="Times New Roman" w:cs="Times New Roman" w:eastAsia="Times New Roman" w:hAnsi="Times New Roman"/>
          <w:sz w:val="17"/>
          <w:szCs w:val="17"/>
          <w:color w:val="auto"/>
        </w:rPr>
      </w:pPr>
    </w:p>
    <w:p>
      <w:pPr>
        <w:ind w:left="1240" w:right="20" w:hanging="530"/>
        <w:spacing w:after="0" w:line="260"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US$873,404) annual gross gaming revenue for gaming tables and MOP300,000 (equivalent to approximately US$37,432) annual gross gaming revenue for gaming machines.</w:t>
      </w:r>
    </w:p>
    <w:p>
      <w:pPr>
        <w:spacing w:after="0" w:line="88" w:lineRule="exact"/>
        <w:rPr>
          <w:rFonts w:ascii="Times New Roman" w:cs="Times New Roman" w:eastAsia="Times New Roman" w:hAnsi="Times New Roman"/>
          <w:sz w:val="17"/>
          <w:szCs w:val="17"/>
          <w:color w:val="auto"/>
        </w:rPr>
      </w:pPr>
    </w:p>
    <w:p>
      <w:pPr>
        <w:ind w:left="1240" w:right="40" w:hanging="530"/>
        <w:spacing w:after="0" w:line="262"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 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w:t>
      </w:r>
    </w:p>
    <w:p>
      <w:pPr>
        <w:spacing w:after="0" w:line="83"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gaming promoter can only conduct gaming promotion activities with one concessionaire and may only receive commission, not being a gaming promoter permitted to share with the concessionaires, in any form whatsoever, the casino revenue.</w:t>
      </w:r>
    </w:p>
    <w:p>
      <w:pPr>
        <w:spacing w:after="0" w:line="55" w:lineRule="exact"/>
        <w:rPr>
          <w:rFonts w:ascii="Times New Roman" w:cs="Times New Roman" w:eastAsia="Times New Roman" w:hAnsi="Times New Roman"/>
          <w:sz w:val="17"/>
          <w:szCs w:val="17"/>
          <w:color w:val="auto"/>
        </w:rPr>
      </w:pPr>
    </w:p>
    <w:p>
      <w:pPr>
        <w:ind w:left="1240" w:right="200" w:hanging="530"/>
        <w:spacing w:after="0" w:line="295"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jointly and severally liable for administrative fines and civil liability arising from the exercise in their casinos of the authorized gaming promotion activity by gaming promoters,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960"/>
          </w:cols>
          <w:pgMar w:left="320" w:top="472" w:right="6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20"/>
        <w:spacing w:after="0" w:line="295" w:lineRule="auto"/>
        <w:rPr>
          <w:sz w:val="20"/>
          <w:szCs w:val="20"/>
          <w:color w:val="auto"/>
        </w:rPr>
      </w:pPr>
      <w:r>
        <w:rPr>
          <w:rFonts w:ascii="Times New Roman" w:cs="Times New Roman" w:eastAsia="Times New Roman" w:hAnsi="Times New Roman"/>
          <w:sz w:val="17"/>
          <w:szCs w:val="17"/>
          <w:color w:val="auto"/>
        </w:rPr>
        <w:t>their directors and key employees, as well as their collaborators. Such joint and several liability may be excluded when it is proved that the concessionaire has responsibly fulfilled its supervision duty.</w:t>
      </w:r>
    </w:p>
    <w:p>
      <w:pPr>
        <w:spacing w:after="0" w:line="55" w:lineRule="exact"/>
        <w:rPr>
          <w:sz w:val="20"/>
          <w:szCs w:val="20"/>
          <w:color w:val="auto"/>
        </w:rPr>
      </w:pPr>
    </w:p>
    <w:p>
      <w:pPr>
        <w:ind w:left="1240" w:right="20" w:hanging="530"/>
        <w:spacing w:after="0" w:line="261" w:lineRule="auto"/>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gaming tables and gaming machines that may be operated by the concessionaires is determined by dispatch from the Chief Executive of Macau and the number of gaming tables and gaming machines to be installed, added or reduced in each casino by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 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Melco Resorts Macau has been authorized to operate 750 gaming tables and 2,100 gaming machines.</w:t>
      </w:r>
    </w:p>
    <w:p>
      <w:pPr>
        <w:spacing w:after="0" w:line="86" w:lineRule="exact"/>
        <w:rPr>
          <w:rFonts w:ascii="Times New Roman" w:cs="Times New Roman" w:eastAsia="Times New Roman" w:hAnsi="Times New Roman"/>
          <w:sz w:val="17"/>
          <w:szCs w:val="17"/>
          <w:color w:val="auto"/>
        </w:rPr>
      </w:pPr>
    </w:p>
    <w:p>
      <w:pPr>
        <w:ind w:left="1240" w:right="140" w:hanging="530"/>
        <w:spacing w:after="0" w:line="295" w:lineRule="auto"/>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circulation of chips is subject to authorization from the Secretary for Economy and Finance, which may establish the maximum limit of the total amount of chips in circulation.</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can only disseminate information or activities related to gaming in the zones for games of chance of the casinos, under the applicable laws and regulations.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and the companies of which they are dominant shareholders cannot be admitted to listing on stock exchanges.</w:t>
      </w:r>
    </w:p>
    <w:p>
      <w:pPr>
        <w:spacing w:after="0" w:line="131" w:lineRule="exact"/>
        <w:rPr>
          <w:rFonts w:ascii="Times New Roman" w:cs="Times New Roman" w:eastAsia="Times New Roman" w:hAnsi="Times New Roman"/>
          <w:sz w:val="17"/>
          <w:szCs w:val="17"/>
          <w:color w:val="auto"/>
        </w:rPr>
      </w:pPr>
    </w:p>
    <w:p>
      <w:pPr>
        <w:ind w:left="1240" w:right="180" w:hanging="530"/>
        <w:spacing w:after="0" w:line="269" w:lineRule="auto"/>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administrative sanctions regime is established with fines ranging from MOP100,000 (equivalent to approximately US$12,477) and MOP5,000,000 (equivalent to approximately US$623,860) and, depending on the seriousness of the offense, damages, fault, benefits obtained, economic situation and previous conduct, a supplemental penalty of total or partial closure of gaming areas for periods ranging from one month to one year.</w:t>
      </w:r>
    </w:p>
    <w:p>
      <w:pPr>
        <w:spacing w:after="0" w:line="77"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w:t>
      </w:r>
    </w:p>
    <w:p>
      <w:pPr>
        <w:spacing w:after="0" w:line="16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Non-compliance with these obligations could lead to the revocation of Melco Resorts Macau’s Concession Contract and could materially and adversely affect our gaming operations.</w:t>
      </w:r>
    </w:p>
    <w:p>
      <w:pPr>
        <w:spacing w:after="0" w:line="147"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 machines, equipment and systems, instructions on promoting responsible gaming, restrictions on the reallocation of gaming tables between properties and other matters. In addition, the Macau government may consider enacting new regulations that may adversely affect our gaming operations. Our inability to address the requirements or restrictions imposed by the Macau government under such legislation or rules could adversely affect our gaming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Activities Regulations</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cancelation of gaming promoter licenses are the responsibility of the Secretary for Economy and Finance, who also determines the maximum annual number of gaming promoters which each concessionaire may engage as published on the DICJ’s website.</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940"/>
          </w:cols>
          <w:pgMar w:left="320" w:top="472" w:right="6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US$1.2 million) fully paid up in cash, and net assets of not less than such amount during the license period, having as shareholders individuals only, having 50% or more of its registered capital being held by permanent residents of Macau who are at least 21 years of 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previously being declared insolvent or bankrupt, nor being responsible for debts arising from the insolvency or bankruptcy of third parties, and the company and its shareholders, directors and key employees being deemed suitable.</w:t>
      </w:r>
    </w:p>
    <w:p>
      <w:pPr>
        <w:spacing w:after="0" w:line="17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Each gaming promoter can only conduct the gaming promotion activity with one concessionaire, and only for a commission. Gaming promoters are prohibited from resorting to the support of entities that are not 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w:t>
      </w:r>
    </w:p>
    <w:p>
      <w:pPr>
        <w:spacing w:after="0" w:line="175" w:lineRule="exact"/>
        <w:rPr>
          <w:sz w:val="20"/>
          <w:szCs w:val="20"/>
          <w:color w:val="auto"/>
        </w:rPr>
      </w:pPr>
    </w:p>
    <w:p>
      <w:pPr>
        <w:ind w:left="300" w:right="140" w:firstLine="960"/>
        <w:spacing w:after="0" w:line="262" w:lineRule="auto"/>
        <w:rPr>
          <w:sz w:val="20"/>
          <w:szCs w:val="20"/>
          <w:color w:val="auto"/>
        </w:rPr>
      </w:pPr>
      <w:r>
        <w:rPr>
          <w:rFonts w:ascii="Times New Roman" w:cs="Times New Roman" w:eastAsia="Times New Roman" w:hAnsi="Times New Roman"/>
          <w:sz w:val="17"/>
          <w:szCs w:val="17"/>
          <w:color w:val="auto"/>
        </w:rPr>
        <w:t>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w:t>
      </w:r>
    </w:p>
    <w:p>
      <w:pPr>
        <w:spacing w:after="0" w:line="175"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w:t>
      </w:r>
    </w:p>
    <w:p>
      <w:pPr>
        <w:spacing w:after="0" w:line="171"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In addition to the licensing and suitability assessment process performed by the DICJ, all of our gaming promoters (if any) undergo thorough internal vetting procedures. We conduct background checks and also conduct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69" w:lineRule="exact"/>
        <w:rPr>
          <w:sz w:val="20"/>
          <w:szCs w:val="20"/>
          <w:color w:val="auto"/>
        </w:rPr>
      </w:pPr>
    </w:p>
    <w:p>
      <w:pPr>
        <w:ind w:left="300" w:right="560" w:firstLine="960"/>
        <w:spacing w:after="0" w:line="295" w:lineRule="auto"/>
        <w:rPr>
          <w:sz w:val="20"/>
          <w:szCs w:val="20"/>
          <w:color w:val="auto"/>
        </w:rPr>
      </w:pPr>
      <w:r>
        <w:rPr>
          <w:rFonts w:ascii="Times New Roman" w:cs="Times New Roman" w:eastAsia="Times New Roman" w:hAnsi="Times New Roman"/>
          <w:sz w:val="17"/>
          <w:szCs w:val="17"/>
          <w:color w:val="auto"/>
        </w:rPr>
        <w:t>Concessionaires are required to report periodically on commissions paid to their gaming promoters. A 5% tax must be withheld on commissions paid by a concessionaire to its gaming promoters. Under Law no.</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920"/>
          </w:cols>
          <w:pgMar w:left="320" w:top="472" w:right="6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0" w:lineRule="auto"/>
        <w:rPr>
          <w:sz w:val="20"/>
          <w:szCs w:val="20"/>
          <w:color w:val="auto"/>
        </w:rPr>
      </w:pPr>
      <w:r>
        <w:rPr>
          <w:rFonts w:ascii="Times New Roman" w:cs="Times New Roman" w:eastAsia="Times New Roman" w:hAnsi="Times New Roman"/>
          <w:sz w:val="17"/>
          <w:szCs w:val="17"/>
          <w:color w:val="auto"/>
        </w:rPr>
        <w:t>16/2022 and in accordance with the Secretary for Economy and Finance Dispatch no. 90/2022, a commission cap of 1.25% of net rolling has been in effect. Such commission cap was confirmed by the Macau government in 2022. Any advantages or liberalities offered or provided, in Macau or abroad, directly or indirectly, to the gaming promoter by the concessionaire, a company in which the concession holds participation, or others with which the concessionaire is in a group relationship, shall be considered and calculated as commission and be within such commission cap. The commission cap regulations impose fines, ranging from MOP2,000,000 (equivalent to approximately US$249,544) up to MOP5,000,000 (equivalent to approximately US$623,860) on concessionaires that do not comply with the cap and other fines, ranging from MOP600,000 (equivalent to approximately US$74,863) up to MOP1,500,000 (equivalent to approximately US$187,158)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177"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Pursuant to Instruction no. 4/2024 issued by the DICJ which came into effect on July 11, 2024, the 1.25% of net rolling commission cap set in the Dispatch no. 90/2022 from the Secretary of Economy and Finance also applies to incentives granted by gaming operators to patrons. Accordingly, any incentives granted to patrons, including but not limited to complimentary rooms, promotional chips, food and beverage benefits, and other perks, must be considered and fall within the commission cap. Further, incentives must be directly derived from the patron’s gaming activity, and their effective value shall not exceed the commission ceiling. Breaches of the commission cap in relation to patrons are subject to the same penalties provided under the commission cap regulations for breaches involving gaming promoters.</w:t>
      </w:r>
    </w:p>
    <w:p>
      <w:pPr>
        <w:spacing w:after="0" w:line="173"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w:t>
      </w:r>
    </w:p>
    <w:p>
      <w:pPr>
        <w:spacing w:after="0" w:line="16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w:t>
      </w:r>
    </w:p>
    <w:p>
      <w:pPr>
        <w:spacing w:after="0" w:line="171"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 being permitted. Managing companies are prohibited from managing the financial activities of casinos, including in matters of accounting or settlement of chips and gaming funds, as well as from depositing, by themselves or through third parties, chips or funds from third parties.</w:t>
      </w:r>
    </w:p>
    <w:p>
      <w:pPr>
        <w:spacing w:after="0" w:line="173"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920"/>
          </w:cols>
          <w:pgMar w:left="320" w:top="472" w:right="6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7"/>
          <w:szCs w:val="17"/>
          <w:color w:val="auto"/>
        </w:rPr>
        <w:t>is punishable by imprisonment from 2 to 5 years in case of individuals, or fines up to MOP18 million (equivalent to approximately US$2.2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Credit Regulations</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Macau Law no. 7/2024, which came into effect on August 1, 2024, and replaced the previous Gaming Credit Regulation (Macau Law no. 5/2004), regulates the granting of credit for gaming activities in Macau. This law defines gaming credit granting as the transfer of casino gaming chips by concessionaires to patrons without immediate payment. Only gaming concessionaires can grant gaming credit, and they cannot delegate this activity to other entities. In particular, the new law restricts the role of gaming promoters to acting solely as agents of concessionaires in credit granting activities, eliminating their previous ability to extend credit independently. However, concessionaires can enter into representation contracts with gaming promoters allowing them to perform legal acts related to credit granting on behalf of and in the interest of the concessionaire. The law also mandates that concessionaires implement a credit risk management system, conduct credit assessments of patrons, and ensure compliance with these duties by gaming promoters.</w:t>
      </w:r>
    </w:p>
    <w:p>
      <w:pPr>
        <w:spacing w:after="0" w:line="175"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Members of concessionaires’ corporate bodies and employees must perform their duties with integrity and in accordance with laws and professional conduct rules. Confidentiality regarding credit activities and relationships must be maintained, except under specific circumstances. The DICJ oversees compliance, and concessionaires must cooperate with inspections and provide necessary documents and information. Administrative penalties for violations include fines, suspension of credit granting activities, and public disclosure of sanctions. The law also allows the DICJ to process personal data necessary for enforcing the law and grants DICJ personnel public authority powers to request assistance from police and administrative authorities during inspections.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Illegal Gambling Crimes Regulations</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Macau Law no. 20/2024, which came into effect on October 29, 2024, establishes the legal framework for combating illegal gaming crimes and replaced the previous Illegal Gaming Law (Law no. 8/96/M). This law clarifies that illegal gaming crimes include side betting activities and increased the penalties applicable to illegal gaming crimes, with imprisonment of up to eight years and fines calculated in days, with each day corresponding to an amount between MOP250 (equivalent to approximately US$31) and MOP15,000 (equivalent to approximately US$1,872). It prohibits the operation, promotion, and organization of online gaming in Macau, even if the servers or IT equipment are located outside Macau. The law also introduces several measures to enhance investigations, such as the use of undercover agents and the protection of informants’ identities.</w:t>
      </w:r>
    </w:p>
    <w:p>
      <w:pPr>
        <w:spacing w:after="0" w:line="173"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In addition to natural persons, legal entities are also subject to this law and may face penalties including judicial dissolution or daily fines ranging from MOP250 (equivalent to approximately US$31) to MOP15,000 (equivalent to approximately US$1,872) for a period of 100 to 1,200 days (i.e., up to MOP18,000,000 (equivalent to approximately US$2.2 million)). Representatives of legal entities may be jointly and severally responsible for paying such fines. Other sanctions include prohibition from attending certain</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960"/>
          </w:cols>
          <w:pgMar w:left="320" w:top="472" w:right="6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780"/>
        <w:spacing w:after="0" w:line="295" w:lineRule="auto"/>
        <w:rPr>
          <w:sz w:val="20"/>
          <w:szCs w:val="20"/>
          <w:color w:val="auto"/>
        </w:rPr>
      </w:pPr>
      <w:r>
        <w:rPr>
          <w:rFonts w:ascii="Times New Roman" w:cs="Times New Roman" w:eastAsia="Times New Roman" w:hAnsi="Times New Roman"/>
          <w:sz w:val="17"/>
          <w:szCs w:val="17"/>
          <w:color w:val="auto"/>
        </w:rPr>
        <w:t>establishments, prohibition or suspension from exercising certain professions or activities, deportation or prohibition from entering Macau for non-residents, and prohibition from entering casinos.</w:t>
      </w:r>
    </w:p>
    <w:p>
      <w:pPr>
        <w:spacing w:after="0" w:line="147" w:lineRule="exact"/>
        <w:rPr>
          <w:sz w:val="20"/>
          <w:szCs w:val="20"/>
          <w:color w:val="auto"/>
        </w:rPr>
      </w:pPr>
    </w:p>
    <w:p>
      <w:pPr>
        <w:jc w:val="both"/>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 xml:space="preserve">The law addresses gaming related crimes such as illegal granting of credit for gaming, fraudulent gaming, falsification of gaming chips, the operation of illegal currency exchange for gaming purposes, or the illegal operation of </w:t>
      </w:r>
      <w:r>
        <w:rPr>
          <w:rFonts w:ascii="Times New Roman" w:cs="Times New Roman" w:eastAsia="Times New Roman" w:hAnsi="Times New Roman"/>
          <w:sz w:val="17"/>
          <w:szCs w:val="17"/>
          <w:i w:val="1"/>
          <w:iCs w:val="1"/>
          <w:color w:val="auto"/>
        </w:rPr>
        <w:t>mah-jong</w:t>
      </w:r>
      <w:r>
        <w:rPr>
          <w:rFonts w:ascii="Times New Roman" w:cs="Times New Roman" w:eastAsia="Times New Roman" w:hAnsi="Times New Roman"/>
          <w:sz w:val="17"/>
          <w:szCs w:val="17"/>
          <w:color w:val="auto"/>
        </w:rPr>
        <w:t xml:space="preserve"> games. It grants the DICJ the authority to oversee compliance and apply penalties, including the ability to request assistance from police and administrative authorities.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Access to Casinos and Gaming Areas Regulations</w:t>
      </w:r>
    </w:p>
    <w:p>
      <w:pPr>
        <w:spacing w:after="0" w:line="122" w:lineRule="exact"/>
        <w:rPr>
          <w:sz w:val="20"/>
          <w:szCs w:val="20"/>
          <w:color w:val="auto"/>
        </w:rPr>
      </w:pPr>
    </w:p>
    <w:p>
      <w:pPr>
        <w:jc w:val="both"/>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Smoking Regulations</w:t>
      </w:r>
    </w:p>
    <w:p>
      <w:pPr>
        <w:spacing w:after="0" w:line="122" w:lineRule="exact"/>
        <w:rPr>
          <w:sz w:val="20"/>
          <w:szCs w:val="20"/>
          <w:color w:val="auto"/>
        </w:rPr>
      </w:pPr>
    </w:p>
    <w:p>
      <w:pPr>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and Terrorism Financing Regulations</w:t>
      </w:r>
    </w:p>
    <w:p>
      <w:pPr>
        <w:spacing w:after="0" w:line="122"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In conjunction with current gaming laws and regulations, we are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our compliance requirements with respect to identifying, reporting and preventing anti-money laundering and terrorism financing crimes at our casinos in Macau. Under these laws and regulations, we are required to:</w:t>
      </w:r>
    </w:p>
    <w:p>
      <w:pPr>
        <w:spacing w:after="0" w:line="80" w:lineRule="exact"/>
        <w:rPr>
          <w:sz w:val="20"/>
          <w:szCs w:val="20"/>
          <w:color w:val="auto"/>
        </w:rPr>
      </w:pPr>
    </w:p>
    <w:p>
      <w:pPr>
        <w:ind w:left="1240" w:right="400" w:hanging="530"/>
        <w:spacing w:after="0" w:line="295"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internal procedures and rules governing the prevention of anti-money laundering and terrorism financing crimes which are subject to prior approval from DICJ;</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evaluate the money laundering and terrorism financing risk inherent to gaming activities;</w:t>
      </w:r>
    </w:p>
    <w:p>
      <w:pPr>
        <w:spacing w:after="0" w:line="131"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any customer who is in a stable business relationship with Melco Resorts Macau,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deal with any of our customers who fail to provide any information requested by us;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records on the identification of a customer for a period of five years;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regime for electronic transfers;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individual records of all transactions related to gaming which involve credit securities;</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76"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records of all electronic transactions for amounts equal to or exceeding MOP8,000 (equivalent to approximately US$998) in cases of occasional transactions and MOP120,000 (equivalent to approximately US$14,973) in cases of transactions that arose in the context of a continuous business relationship;</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960"/>
          </w:cols>
          <w:pgMar w:left="320" w:top="472" w:right="6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Macau Finance Information Bureau if there is any sign of money laundering or financing of terrorism;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as compliance function and appoint compliance officers; and</w:t>
      </w:r>
    </w:p>
    <w:p>
      <w:pPr>
        <w:spacing w:after="0" w:line="131" w:lineRule="exact"/>
        <w:rPr>
          <w:rFonts w:ascii="Times New Roman" w:cs="Times New Roman" w:eastAsia="Times New Roman" w:hAnsi="Times New Roman"/>
          <w:sz w:val="17"/>
          <w:szCs w:val="17"/>
          <w:color w:val="auto"/>
        </w:rPr>
      </w:pPr>
    </w:p>
    <w:p>
      <w:pPr>
        <w:ind w:left="1240" w:right="500" w:hanging="530"/>
        <w:spacing w:after="0" w:line="295"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with the Macau government by providing all required information and documentation requested in relation to anti-money laundering activities.</w:t>
      </w:r>
    </w:p>
    <w:p>
      <w:pPr>
        <w:spacing w:after="0" w:line="147"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Under Article 2 of Administrative Regulation no. 7/2006 (as amended pursuant to Administrative Regulation no. 17/2017) and the DICJ Instruction no. 1/2016 (as amended pursuant to DICJ Instruction no.1/2019), we are required to track and report transactions and granting of credit that are of MOP500,000 (equivalent to approximately US$62,386) or above. Pursuant to the legal requirements above, if the customer provides all required information, after submitting the reports, we may continue to deal with those customers that were reported to the DICJ and, in case of suspicious transactions, to the Macau Finance Information Bureau.</w:t>
      </w:r>
    </w:p>
    <w:p>
      <w:pPr>
        <w:spacing w:after="0" w:line="171"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w:t>
      </w:r>
    </w:p>
    <w:p>
      <w:pPr>
        <w:spacing w:after="0" w:line="162"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We have developed a comprehensive anti-money laundering policy and related procedures covering our anti-money laundering responsibilities, which have been approved by the DICJ, and have training programs in place to enable all relevant employees to understand such anti-money laundering policy and procedures. We also use an integrated IT system to track and automatically generate significant cash transaction reports and, as permitted by the DICJ and the Macau Finance Information Bureau, submit those reports electronically.</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Responsible Gambling Regulations</w:t>
      </w:r>
    </w:p>
    <w:p>
      <w:pPr>
        <w:spacing w:after="0" w:line="122"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On October 18, 2019, the DICJ issued Instruction no. 4/2019, which came into effect on December 27, 2019, setting out measures for the implementation of responsible gambling principles, which was amended by Instruction no. 3/2024 issued by the DICJ, which came into effect on May 28, 2024.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175"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Law no. 16/2001, as amended in June 2022 pursuant to Law no. 7/2022, or the Macau Gaming Operations Law, also sets out responsible gambling obligations, including the obligation of the concessionaires to prepare a plan for the promotion of responsible gambling, as well as to adopt measures that allow the public, including tourists, to have sufficient information to assume a responsible, moderate and controlled posture towards gaming. These measures include providing players with information about responsible gambling behaviors, as well as about gaming dependency and addiction issues, including the information on responsible gambling;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gambling aimed at employees, as well as counseling services. Furthermore, the concessionaires must annually submit to the DICJ a report on the execution of the plan for the promotion of responsible gambling of such year, as well as a plan for the promotion of responsible gambling for the subsequent year.</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920"/>
          </w:cols>
          <w:pgMar w:left="320" w:top="472" w:right="6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Control of Cross-border Transportation of Cash Regulations</w:t>
      </w:r>
    </w:p>
    <w:p>
      <w:pPr>
        <w:spacing w:after="0" w:line="122"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US$14,973)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US$125) and not exceeding MOP500,000 (equivalent to approximately US$62,386)).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Operating in the Gaming Industry in Macau — Our gaming operations in Macau could be adversely affected by restrictions on the export of the Renminbi and any unfavorable fluctuations in the currency exchange rates of the Renminbi.”</w:t>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Prevention and Suppression of Corruption in External Trade Regulations</w:t>
      </w:r>
    </w:p>
    <w:p>
      <w:pPr>
        <w:spacing w:after="0" w:line="122" w:lineRule="exact"/>
        <w:rPr>
          <w:sz w:val="20"/>
          <w:szCs w:val="20"/>
          <w:color w:val="auto"/>
        </w:rPr>
      </w:pPr>
    </w:p>
    <w:p>
      <w:pPr>
        <w:ind w:left="300" w:right="340" w:firstLine="960"/>
        <w:spacing w:after="0" w:line="276" w:lineRule="auto"/>
        <w:rPr>
          <w:sz w:val="20"/>
          <w:szCs w:val="20"/>
          <w:color w:val="auto"/>
        </w:rPr>
      </w:pPr>
      <w:r>
        <w:rPr>
          <w:rFonts w:ascii="Times New Roman" w:cs="Times New Roman" w:eastAsia="Times New Roman" w:hAnsi="Times New Roman"/>
          <w:sz w:val="17"/>
          <w:szCs w:val="17"/>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Asset Freezing Enforcement Regulations</w:t>
      </w:r>
    </w:p>
    <w:p>
      <w:pPr>
        <w:spacing w:after="0" w:line="122"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w:t>
      </w: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Regulations</w:t>
      </w:r>
    </w:p>
    <w:p>
      <w:pPr>
        <w:spacing w:after="0" w:line="12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Regulations</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Our subsidiaries incorporated in Macau are subject to local intellectual property regulations. Intellectual property protection in Macau is supervised by the Intellectual Property Department of the Economic and Technological Development Bureau of the Macau government.</w:t>
      </w:r>
    </w:p>
    <w:p>
      <w:pPr>
        <w:spacing w:after="0" w:line="147" w:lineRule="exact"/>
        <w:rPr>
          <w:sz w:val="20"/>
          <w:szCs w:val="20"/>
          <w:color w:val="auto"/>
        </w:rPr>
      </w:pPr>
    </w:p>
    <w:p>
      <w:pPr>
        <w:ind w:left="300" w:right="800" w:firstLine="960"/>
        <w:spacing w:after="0" w:line="295" w:lineRule="auto"/>
        <w:rPr>
          <w:sz w:val="20"/>
          <w:szCs w:val="20"/>
          <w:color w:val="auto"/>
        </w:rPr>
      </w:pPr>
      <w:r>
        <w:rPr>
          <w:rFonts w:ascii="Times New Roman" w:cs="Times New Roman" w:eastAsia="Times New Roman" w:hAnsi="Times New Roman"/>
          <w:sz w:val="17"/>
          <w:szCs w:val="17"/>
          <w:color w:val="auto"/>
        </w:rPr>
        <w:t>The applicable regime in Macau with regard to intellectual property rights is defined by two main laws. The Industrial Property Code (Decree-Law no. 97/99/M, as amended pursuant to Law no. 11/2001), covers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940"/>
          </w:cols>
          <w:pgMar w:left="320" w:top="472" w:right="6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hanging="8"/>
        <w:spacing w:after="0" w:line="266" w:lineRule="auto"/>
        <w:tabs>
          <w:tab w:leader="none" w:pos="50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and Operations — A failure to establish and protect our intellectual property rights could have an adverse effect on our business, financial condition and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Personal Information Regulations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Processing of personal information by our subsidiaries in Macau is subject to compliance with the Personal Data Protection Act (Law no. 8/2005), and, in the case of Melco Resorts Macau, any instructions issued by DICJ from time to time. The Personal Data Protection Bureau, or DSPDP, is the regulatory authority in Macau specially in charge of supervising and enforcing the Personal Data Protection Act. The DSPDP, which is an official public department operating under the authority of the Chief Executive of Macau was established under the Administrative Regulation no. 42/2023, and, with effect from February 1, 2024, replaced the Office for Personal Data Protection, which was the previous regulatory authority for personal data protection matters. Breaches are subject to civil liability, administrative and criminal sanctions.</w:t>
      </w:r>
    </w:p>
    <w:p>
      <w:pPr>
        <w:spacing w:after="0" w:line="17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legal framework and the instructions issued by DICJ require that certain procedures must be adopted before collecting, processing and/or transferring personal information, including obtaining consent from the data subject and/or notifying or requesting authorization from the DSPDP and/or DICJ, as applicable, prior to processing personal information.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Regulations</w:t>
      </w:r>
    </w:p>
    <w:p>
      <w:pPr>
        <w:spacing w:after="0" w:line="122"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Law no. 13/2019, the Cybersecurity Law came into effect on December 21, 2019 and is intended to protect networks, systems and data of public and private operators of critical infra-structures, among which operators of games of chance in casino are included.</w:t>
      </w:r>
    </w:p>
    <w:p>
      <w:pPr>
        <w:spacing w:after="0" w:line="147"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 cybersecurity system is composed of a Cybersecurity Commission, a Cybersecurity Alert and Response Incident Centre (“CARIC”) and cybersecurity supervisory entities.</w:t>
      </w:r>
    </w:p>
    <w:p>
      <w:pPr>
        <w:spacing w:after="0" w:line="147"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Additional regulations have been enacted to further determine and detail how the above-mentioned obligations are to be fulfilled.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Labor Quotas Regulations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All businesses in Macau must apply to the Labor Affairs Bureau for labor quotas to import non-resident unskilled workers from mainland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We have, through our subsidiaries, two main groups of labor quotas in Macau, one to import non-skilled workers from mainland China and the other to import non-skilled workers from all other countries. Melco Resorts Macau is not currently allowed to hire non-Macau resident dealers and supervisors under the Macau government’s policy.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940"/>
          </w:cols>
          <w:pgMar w:left="320" w:top="472" w:right="6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Minimum Salary Regulations</w:t>
      </w:r>
    </w:p>
    <w:p>
      <w:pPr>
        <w:spacing w:after="0" w:line="122"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On April 27, 2020, Law no. 5/2020, with respect to minimum salary, was enacted. Such law came into effect on November 1, 2020. In accordance with such law, as amended pursuant to Law no. 19/2023, effective from January 1, 2024, the monthly minimum salary in Macau was MOP7,072 (equivalent to approximately US$882) per month (excluding overtime, night and shift allowances and regular bonus related payments) until December 31, 2025. Such law was further amended pursuant to Law no. 14/2025, effective from January 1, 2026, establishing the monthly minimum salary in Macau as MOP7,280 (equivalent to approximately US$908) per month (excluding overtime, night and shift allowances and regular bonus related payments). The minimum salary requirement applies to all workers in Macau, except domestic helpers and special needs workers.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Land Regulations</w:t>
      </w:r>
    </w:p>
    <w:p>
      <w:pPr>
        <w:spacing w:after="0" w:line="122"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Land in Macau is legally divided into plots. In most cases, private interests in real property located in Macau are obtained through long-term leases from the Macau government.</w:t>
      </w:r>
    </w:p>
    <w:p>
      <w:pPr>
        <w:spacing w:after="0" w:line="147"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Our subsidiaries have entered into land concession contracts for the land on which our Altira Macau, City of Dreams and Studio City properties are located. Each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Distribution of Profits Regulations</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Subsidiaries incorporated in Macau are required to set aside a minimum of 10% to 25% of the entity’s profit after tax to the legal reserve until the balance of the legal reserve reaches a level equivalent to between 25% to 50% of the entity’s share capital, in accordance with the provisions of the Macau Commercial Code. The legal reserve is not available for distribution to the shareholders of the subsidiaries. The appropriation of legal reserve is recorded in the subsidiaries’ financial statements in the year in which it is approved by the shareholders of the relevant subsidiaries. Melco Resorts Macau must notify the Chief Executive of Macau five business days in advance of any decision related to dividend distribution in an amount greater than MOP500 million (equivalent to approximately US$62.4 million).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of December 31, 2025, the aggregate balance of the legal reserves of all of our Macau subsidiaries amounted to US$60.3 million.</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Tax Code</w:t>
      </w:r>
    </w:p>
    <w:p>
      <w:pPr>
        <w:spacing w:after="0" w:line="122" w:lineRule="exact"/>
        <w:rPr>
          <w:sz w:val="20"/>
          <w:szCs w:val="20"/>
          <w:color w:val="auto"/>
        </w:rPr>
      </w:pPr>
    </w:p>
    <w:p>
      <w:pPr>
        <w:ind w:left="300" w:right="160" w:firstLine="960"/>
        <w:spacing w:after="0" w:line="273" w:lineRule="auto"/>
        <w:rPr>
          <w:sz w:val="20"/>
          <w:szCs w:val="20"/>
          <w:color w:val="auto"/>
        </w:rPr>
      </w:pPr>
      <w:r>
        <w:rPr>
          <w:rFonts w:ascii="Times New Roman" w:cs="Times New Roman" w:eastAsia="Times New Roman" w:hAnsi="Times New Roman"/>
          <w:sz w:val="17"/>
          <w:szCs w:val="17"/>
          <w:color w:val="auto"/>
        </w:rPr>
        <w:t>The new Macau Tax Code, approved by Law no. 24/2024, had the majority of its provisions take effect on January 1, 2026. This legislation aims to modernize and consolidate Macau’s tax regulations, covering various aspects such as legal relationships, administrative procedures, judicial proceedings, and enforcement related to tax matters. Two key changes include the introduction of transfer pricing rules and a shift from a worldwide tax</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940"/>
          </w:cols>
          <w:pgMar w:left="320" w:top="472" w:right="6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40"/>
        <w:spacing w:after="0" w:line="276" w:lineRule="auto"/>
        <w:rPr>
          <w:sz w:val="20"/>
          <w:szCs w:val="20"/>
          <w:color w:val="auto"/>
        </w:rPr>
      </w:pPr>
      <w:r>
        <w:rPr>
          <w:rFonts w:ascii="Times New Roman" w:cs="Times New Roman" w:eastAsia="Times New Roman" w:hAnsi="Times New Roman"/>
          <w:sz w:val="17"/>
          <w:szCs w:val="17"/>
          <w:color w:val="auto"/>
        </w:rPr>
        <w:t>basis to a territorial basis. However, this shift excludes dividends, interest, royalties, and gains from disposal of properties earned outside Macau by multinational entities that qualify as tax residents in Macau which still fall within the scope of the complementary tax. The new Macau Tax Code also includes mechanisms for double taxation relief and promotes the use of electronic tax platforms to streamline administrative processes.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Investment Funds Regulations</w:t>
      </w:r>
    </w:p>
    <w:p>
      <w:pPr>
        <w:spacing w:after="0" w:line="122"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A new investment funds law, approved by Law no. 11/2025, which establishes the regulatory framework for investment funds and fund management companies in Macau, came into effect on January 1, 2026. This law introduces a comprehensive regime governing the constitution, operation and supervision of public and private investment funds (except private pension funds), as well as the obligations of fund managers, custodians and distributors. Under this legislation, investment funds may only operate through structures expressly authorized or communicated to the Monetary Authority of Macau (“AMCM”), and are subject to requirements relating to governance, risk management, disclosure, segregation of assets, valuation and investor protection. Public funds are subject to prior authorization by the AMCM and to ongoing reporting, prudential and transparency obligations, including rules on the issuance, subscription, redemption and suspension of fund units. Private funds are subject to prior communication to the AMCM, are prohibited from conducting any public offering or solicitation and may only raise capital from qualifying investors in accordance with criteria defined by AMCM.</w:t>
      </w:r>
    </w:p>
    <w:p>
      <w:pPr>
        <w:spacing w:after="0" w:line="390" w:lineRule="exact"/>
        <w:rPr>
          <w:sz w:val="20"/>
          <w:szCs w:val="20"/>
          <w:color w:val="auto"/>
        </w:rPr>
      </w:pPr>
    </w:p>
    <w:p>
      <w:pPr>
        <w:ind w:left="300" w:right="220" w:firstLine="960"/>
        <w:spacing w:after="0" w:line="268" w:lineRule="auto"/>
        <w:rPr>
          <w:sz w:val="20"/>
          <w:szCs w:val="20"/>
          <w:color w:val="auto"/>
        </w:rPr>
      </w:pPr>
      <w:r>
        <w:rPr>
          <w:rFonts w:ascii="Times New Roman" w:cs="Times New Roman" w:eastAsia="Times New Roman" w:hAnsi="Times New Roman"/>
          <w:sz w:val="17"/>
          <w:szCs w:val="17"/>
          <w:color w:val="auto"/>
        </w:rPr>
        <w:t>The AMCM issued Notice no. 022/2025-AMCM, effective January 1, 2026, setting out additional requirements applicable to private investment funds, including limitations on non-public placement activities, a maximum number of 200 Macau-based investors, and eligibility restrictions limiting participation to professional investors meeting defined financial thresholds or institutional qualifications. The law also establishes civil and administrative liabilities for breaches, including fines, supervisory measures, suspension of activities and potential dissolution of non-compliant entities.</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Philippines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Regulations</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Melco Philippine Parties and Philippine Parties are co-licensees of the Philippine License dated April 29, 2015 issued by PAGCOR (previously the Provisional License) for the development of an integrated casino, hotel, retail and entertainment complex within the Entertainment City, Manila. As one of the Philippine Licensees, Melco Resorts Leisure has been named as the special purpose entity to operate the casino business and act as the sole and exclusive representative of the Philippine Licensees for the purposes of the Philippine License. The Philippine License is one of the four licenses granted to various parties to develop integrated tourism resorts and establish and operate casinos in Entertainment City.</w:t>
      </w:r>
    </w:p>
    <w:p>
      <w:pPr>
        <w:spacing w:after="0" w:line="171"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71"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 CRM contains regulations and standards that the Entertainment City licensees, including City of Dreams Manila, should adhere to and observe. It should be read in conjunction with the Philippine License. It contains regulations on areas such as, but not limited to: casino layout, table games and electronic gaming machines, casino management systems, surveillance, gaming chips and plaques, procurement of gaming equipment and gaming paraphernalia as well as the accreditation of suppliers thereof, casino operational rules and guidelines, conduct of gaming, casino player incentives, marketing and promotions, chipwashing and junket</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960"/>
          </w:cols>
          <w:pgMar w:left="320" w:top="472" w:right="6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300"/>
        <w:spacing w:after="0" w:line="277" w:lineRule="auto"/>
        <w:rPr>
          <w:sz w:val="20"/>
          <w:szCs w:val="20"/>
          <w:color w:val="auto"/>
        </w:rPr>
      </w:pPr>
      <w:r>
        <w:rPr>
          <w:rFonts w:ascii="Times New Roman" w:cs="Times New Roman" w:eastAsia="Times New Roman" w:hAnsi="Times New Roman"/>
          <w:sz w:val="17"/>
          <w:szCs w:val="17"/>
          <w:color w:val="auto"/>
        </w:rPr>
        <w:t>operations, banned personalities, determination of gross gaming revenues for table games, electronic gaming machines and other fees; and determination, collection and remittance of PAGCOR license fees. The CRM is revised from time to time to incorporate changes and revisions to the CRM proposed by any of the Entertainment City licensees and approved by PAGCOR. To date, the CRM is now on its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version.</w:t>
      </w:r>
    </w:p>
    <w:p>
      <w:pPr>
        <w:spacing w:after="0" w:line="40"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The ownership and operation of casino gaming facilities in the Philippines are subject to the regulatory supervision of PAGCOR. See “— Gaming Licenses — PAGCOR Licenses in the Philippines” below for more details.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Regulations in the Philippines</w:t>
      </w:r>
    </w:p>
    <w:p>
      <w:pPr>
        <w:spacing w:after="0" w:line="122"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The Philippine AMLA criminalized money laundering and imposed certain requirements on customer identification, record keeping, and reporting of covered and suspicious transactions by covered persons as defined under the law.</w:t>
      </w:r>
    </w:p>
    <w:p>
      <w:pPr>
        <w:spacing w:after="0" w:line="147"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Previously, City of Dreams Manila was covered by the Philippine AMLA only to a limited extent and was only required to report its foreign exchange transactions/money changer activities. In 2022, foreign exchange transactions/money changer activities were discontinued by City of Dreams Manila. Nonetheless, with the new amendment to the existing Philippine AMLA which included casinos as covered persons subject to reporting and other requirements, City of Dreams Manila is required to report single casino cash transaction involving an amount in excess of PHP5,000,000 (equivalent to approximately US$84,935) or its equivalent in any other currency, with respect to its casino operations. Suspicious transactions, regardless of amount, are also required to be reported in connection with casino operations.</w:t>
      </w:r>
    </w:p>
    <w:p>
      <w:pPr>
        <w:spacing w:after="0" w:line="173"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The Anti-Money Laundering Council and PAGCOR have also released regulations and guidelines on compliance and we have adjusted our anti-money laundering policies for our Philippine operations to these new rules and regulations.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Environmental Laws</w:t>
      </w:r>
    </w:p>
    <w:p>
      <w:pPr>
        <w:spacing w:after="0" w:line="122"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Development projects that are classified by law as Environmentally Critical Projects within statutorily defined Environmentally Critical Areas are required to obtain an Environmental Compliance Certificate (“ECC”) prior to commencement.</w:t>
      </w:r>
    </w:p>
    <w:p>
      <w:pPr>
        <w:spacing w:after="0" w:line="147"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Environmental Management Bureau of the Department of Environment and Natural Resources issued an ECC to Belle Corporation for City of Dreams Manila. Under the terms of its Philippine Economic Zone Authority registration, Melco Resorts Leisure is required, prior to the start of commercial operations of City of Dreams Manila, to either: (a) apply for an ECC with the Environmental Management Bureau of the Department of Environment and Natural Resources and submit an approved copy of the ECC to the Philippine Economic Zone Authority within 15 days from its issuance, or (b) submit the ECC issued to Belle Corporation, as the same may be amended to reflect any changes made to City of Dreams Manila, for the review and approval by the Philippine Economic Zone Authority. Accordingly, Belle Corporation applied for an Amended ECC to reflect the changes made to City of Dreams Manila. The Environmental Management Bureau of the Department of Environment and Natural Resources issued the Amended ECC to Belle Corporation on July 31, 2014.</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Data Privacy Act</w:t>
      </w:r>
    </w:p>
    <w:p>
      <w:pPr>
        <w:spacing w:after="0" w:line="122"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 Philippines enacted Republic Act No. 10173, otherwise known as the Data Privacy Act or DPA, on August 15, 2012. The DPA created the National Privacy Commission or the NPC, the regulatory agency mandated to administer and implement the DPA, and to monitor and ensure compliance of the country with international standards set for personal data protection. In addition to rule-making and administrative powers, the NPC also has the authority to adjudicate on complaints, investigate matters affecting personal data, and impose administrative sanctions, fines, or penalties in case of violations.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960"/>
          </w:cols>
          <w:pgMar w:left="320" w:top="472" w:right="6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 DPA and its Implementing Rules and Regulations issued in September 2016 and other circulars issued by the NPC comprise the data protection framework of the Philippines. These data protection laws govern the processing of all types of personal information in the Philippines and are applicable to both the public and private sectors. The law emphasizes compliance with general data privacy principles, lawful criteria for processing, rights of data subjects, obligations of Personal Information Controllers and Processors, and reporting of breaches or suspected breaches to the NPC within a specified period from knowledge or occurrence. While the law applies to acts done within the Philippines, the law may have extraterritorial application if the processing involves personal information about Philippine citizens or residents.</w:t>
      </w:r>
    </w:p>
    <w:p>
      <w:pPr>
        <w:spacing w:after="0" w:line="173" w:lineRule="exact"/>
        <w:rPr>
          <w:sz w:val="20"/>
          <w:szCs w:val="20"/>
          <w:color w:val="auto"/>
        </w:rPr>
      </w:pPr>
    </w:p>
    <w:p>
      <w:pPr>
        <w:jc w:val="both"/>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In compliance with the requirements of the DPA, we have appointed a Data Protection Officer in the Philippines and have issued relevant Data Protection Policies. We require all employees to undergo annual data privacy training and have also appointed Privacy Responsible Officers within each business unit with the responsibility of overseeing compliance with data privacy requirements and data privacy standard operating procedures.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Cyprus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Law and Regulations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Cyprus Casino Operations and Control Laws of 2015-2022 (as amended from time to time) (“the Law”) and Casino Operations and Control Law (General) Regulations 2016 provide the main regulatory framework for the establishment, operation, function, supervision and control of casinos operating in Cyprus. The Law established The Cyprus Gaming and Casino Supervision Commission, known as the CGC, in 2015. The Law also provided for a gaming license to be granted to a single operator, which was granted to Integrated Casino Resorts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These are the only lawful and regulated casino operations in Cyprus. The CGC also issues binding directions to Integrated Casino Resorts concerning its operations from time to time. Such directions issued by the CGC in the past cover casino advertising and promotions, anti-money laundering and combating the financing of terrorism, casino layout, casino surveillance, conduct of casino games and rules for games, use of agents for referrals of casino customers and the gaming equipment technical standards and others.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Law and Regulations</w:t>
      </w:r>
    </w:p>
    <w:p>
      <w:pPr>
        <w:spacing w:after="0" w:line="12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The principal objectives of the Prevention and Suppression of Money Laundering Activities Laws of 2007 (188(I)/2007), as amended (“Cyprus AML Law”), are to prevent the laundering of proceeds of serious criminal offenses (“predicate offenses”) and related activities, to detect and prosecute money laundering activities and to provide for the restraint and confiscation of illicit funds. In addition, the Cyprus AML Law covers matters pertaining to the prevention of terrorist financing. Under the Cyprus AML Law, both money laundering as well as assisting in it are deemed criminal offenses. The CGC’s anti-money laundering Direction requires the Company to implement compliance measures to meet obligations relating to the Company’s monitoring and control obligations and CGC reporting requirements.</w:t>
      </w:r>
    </w:p>
    <w:p>
      <w:pPr>
        <w:spacing w:after="0" w:line="173"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Casino operators are an obliged entity under the Cyprus AML Law. Integrated Casino Resorts is therefore required to have procedures in place for customer due diligence, recordkeeping and internal reporting and to appoint an appropriate person as money laundering compliance officer. The Cyprus AML Law provides for the establishment and operation of the Financial Intelligence Unit (“FIU”) MOKAS and outlines the powers of MOKAS to confiscate the assets of persons who are convicted of a predicate offense and to restrain the assets of such persons and of persons who are reasonably suspected of involvement in money laundering activities. In addition, there are a number of regulations related to anti-corruption, anti-bribery, anti-money laundering and sanctions. The CGC also has supervisory powers for anti-money laundering and combating the financing of terrorism.</w:t>
      </w:r>
    </w:p>
    <w:p>
      <w:pPr>
        <w:spacing w:after="0" w:line="3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920"/>
          </w:cols>
          <w:pgMar w:left="320" w:top="472" w:right="6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On June 19, 2024, the European Union’s New Anti-Money Laundering (“AML”) Single Rulebook Regulation was published in the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Official Journal of the European Union. The package covers:</w:t>
      </w:r>
    </w:p>
    <w:p>
      <w:pPr>
        <w:spacing w:after="0" w:line="113" w:lineRule="exact"/>
        <w:rPr>
          <w:sz w:val="20"/>
          <w:szCs w:val="20"/>
          <w:color w:val="auto"/>
        </w:rPr>
      </w:pPr>
    </w:p>
    <w:p>
      <w:pPr>
        <w:ind w:left="1240" w:right="180" w:hanging="530"/>
        <w:spacing w:after="0" w:line="295" w:lineRule="auto"/>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the Anti-Money Laundering Authority (“AMLA”): The AMLA will be established in Frankfurt to monitor the new European Union rules addressing AML/counter-terrorist financing;</w:t>
      </w:r>
    </w:p>
    <w:p>
      <w:pPr>
        <w:spacing w:after="0" w:line="55" w:lineRule="exact"/>
        <w:rPr>
          <w:rFonts w:ascii="Times New Roman" w:cs="Times New Roman" w:eastAsia="Times New Roman" w:hAnsi="Times New Roman"/>
          <w:sz w:val="17"/>
          <w:szCs w:val="17"/>
          <w:color w:val="auto"/>
        </w:rPr>
      </w:pPr>
    </w:p>
    <w:p>
      <w:pPr>
        <w:ind w:left="1240" w:right="60" w:hanging="530"/>
        <w:spacing w:after="0" w:line="269" w:lineRule="auto"/>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overhaul of current European Union AML legislation through a new European Union regulation on AML/counter-terrorist financing which is directly applicable across all European Union member states (the Single Rulebook Regulation): The Single Rulebook Regulation will harmonize certain areas of AML/counter-terrorist financing across the European Union, including the areas of customer due diligence and beneficial ownership;</w:t>
      </w:r>
    </w:p>
    <w:p>
      <w:pPr>
        <w:spacing w:after="0" w:line="77"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European Union’s Sixth AML Directive (“AMLD 6”): AMLD 6 deals with rules on identifying AML/counter-terrorist financing risks at a Member State level, beneficial ownership registers, national supervisors, and financial intelligence units;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AML regulation is expected to take effect on July 10, 2027.</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EU’s General Data Protection Regulation</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GDPR is the EU’s data protection regulation which aims primarily to give control to individuals over their personal data and imposes strict requirements on organizations’ processing individuals’ personal data. The GDPR imposes governance requirements on ‘controllers’ of personal data to ensure adequate protection of the personal data of individuals in their possession and further grants a range of rights to individuals aiming at granting greater control to such individuals. It additionally places a strong emphasis on the protection of personal data during international transfers outside the EU and European Economic Area (“EEA”), requiring organizations to employ adequate safeguards or relying on other GDPR-approved transfer mechanisms to ensure that the transferred data receives a level of protection equivalent to that within the EU or EEA. Established within the EU, our operations in Cyprus are subject to the GDPR requirements. We have therefore developed and implemented a strategy that encompasses a governance framework including but not limited to regular staff training, data protection impact assessments and the establishment of policies and procedures which regulate the organization’s activities and aim to protect all personal data that is collected, processed and maintained by all business units.</w:t>
      </w:r>
    </w:p>
    <w:p>
      <w:pPr>
        <w:spacing w:after="0" w:line="178"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An external Data Protection Officer has been appointed for our Cyprus operations, in line with the requirements of the GDPR. In addition to the implementation of various policies and procedures, a number of physical, logistical and technical safeguards have been adopted, in an effort to ensure the protection of all personal data our Cyprus operations maintain. There are open channels for communication with data subjects, allowing them to exercise their rights under the GDPR.</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Environmental Laws</w:t>
      </w:r>
    </w:p>
    <w:p>
      <w:pPr>
        <w:spacing w:after="0" w:line="122" w:lineRule="exact"/>
        <w:rPr>
          <w:sz w:val="20"/>
          <w:szCs w:val="20"/>
          <w:color w:val="auto"/>
        </w:rPr>
      </w:pPr>
    </w:p>
    <w:p>
      <w:pPr>
        <w:ind w:left="300" w:right="120" w:firstLine="960"/>
        <w:spacing w:after="0" w:line="262" w:lineRule="auto"/>
        <w:rPr>
          <w:sz w:val="20"/>
          <w:szCs w:val="20"/>
          <w:color w:val="auto"/>
        </w:rPr>
      </w:pPr>
      <w:r>
        <w:rPr>
          <w:rFonts w:ascii="Times New Roman" w:cs="Times New Roman" w:eastAsia="Times New Roman" w:hAnsi="Times New Roman"/>
          <w:sz w:val="17"/>
          <w:szCs w:val="17"/>
          <w:color w:val="auto"/>
        </w:rPr>
        <w:t>The European Union’s Directive on the Assessment of the Effects of Certain Plans and Programmes on the Environment provides for a high level of protection of the environment with a view to contributing to the integration of environmental considerations for the preparation and adoption of plans and programs promoting sustainable development. This aims to ensure that an Environmental Impact Assessment is conducted on certain plans and programs which are likely to have significant effects on the environment., including those in the tourism sector. The Directive was transposed into Cyprus law in 2005 by the Environmental Impact Assessment from Certain Plans and/or Programmes Law 102(I)/2005, which is enforced by the Cyprus Department of Environment. To comply with the requirements of the environmental law, an Environmental Impact Assessment was conducted for the development of the City of Dreams Mediterranean project which, inter alia, includes the study of impacts on the nearby environment.</w:t>
      </w:r>
    </w:p>
    <w:p>
      <w:pPr>
        <w:spacing w:after="0" w:line="3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940"/>
          </w:cols>
          <w:pgMar w:left="320" w:top="472" w:right="6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Sri Lanka Regulations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Law and Regulations</w:t>
      </w:r>
    </w:p>
    <w:p>
      <w:pPr>
        <w:spacing w:after="0" w:line="122"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The Sri Lanka License, the GRA Act and regulations issued under the previous Casino Business (Regulation) Act, No. 17 of 2010, provide the main regulatory framework to conduct and operate a casino business in Sri Lanka. Our Sri Lanka License is valid for a period of 20 years commencing from April 1, 2024.</w:t>
      </w:r>
    </w:p>
    <w:p>
      <w:pPr>
        <w:spacing w:after="0" w:line="162"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There are limited operational requirements prescribed under the GRA Act and the regulations issued under the previous Casino Business (Regulation) Act, No. 17 of 2010 which are still valid to the extent they are not inconsistent with the GRA Act. These include the requirement to appoint a compliance officer to ensure adherence to laws and license terms, prohibiting certain activities such as unlicensed money lending, disorderly or illegal activities, preventing those under the legal minimum age from entering or gambling in casinos, and conspicuously displaying gambling licenses in the licensed premises. Operators must maintain separate accounts with a Sri Lankan commercial bank, adhere to Sri Lanka Accounting Standards, submit audited financial statements within six months of the financial year-end, and retain financial records for six years. Key employees involved in gaming operations, money handling, security and surveillance must be properly trained and fit for their roles.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Law and Regulations</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Sri Lanka’s anti-money laundering and counter-terrorist financing regulations, particularly the Designated Non-Finance Business (Customer Due Diligence) Rules, No. 1 of 2018, impose stringent requirements on casinos and gambling houses. These rules mandate customer due diligence for transactions equal to or above US$3,000, including verifying customer identities and collecting detailed information. Enhanced due diligence is required for high-risk customers, such as politically exposed persons. Casinos must appoint a senior management-level compliance officer to oversee anti-money laundering compliance, report suspicious transactions, and ensure adherence to record-keeping and reporting obligations. The compliance framework also emphasizes a risk-based approach, ongoing monitoring, and training programs to mitigate money laundering and terrorist financing risks. Non-compliance with these regulations can result in significant penalties and imposition of punitive regulatory measures.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Data Privacy</w:t>
      </w:r>
    </w:p>
    <w:p>
      <w:pPr>
        <w:spacing w:after="0" w:line="122"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Sri Lanka’s Personal Data Protection Act, No. 9 of 2022 (the “PDPA”) is a comprehensive data protection law designed to regulate the processing of personal data. The PDPA establishes rights for data subjects and imposes obligations on data controllers and processors.</w:t>
      </w:r>
    </w:p>
    <w:p>
      <w:pPr>
        <w:spacing w:after="0" w:line="147"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The PDPA applies to both public and private entities involved in processing personal data. Key provisions include the requirement for entities to obtain explicit consent from individuals before processing their data, ensuring data accuracy, and implementing appropriate security measures to protect data from unauthorized access or breaches. The PDPA also mandates the appointment of data protection officers for organizations that process large volumes of personal data.</w:t>
      </w:r>
    </w:p>
    <w:p>
      <w:pPr>
        <w:spacing w:after="0" w:line="169"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The Data Protection Authority of Sri Lanka has been established under the PDPA and is responsible for regulating personal data processing, protecting individuals’ privacy and ensuring that entities adhere to the legal obligations set out in the PDPA. The Data Protection Authority of Sri Lanka also has the power to conduct audits, investigate complaints, and impose penalties for non-compliance.</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Applicable Laws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Foreign Corrupt Practices Act</w:t>
      </w:r>
    </w:p>
    <w:p>
      <w:pPr>
        <w:spacing w:after="0" w:line="122"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The FCPA prohibits our Company and our employees and agents from offering or giving money or any other item of value to win or retain business or to influence any act or decision of any foreign official. The Code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960"/>
          </w:cols>
          <w:pgMar w:left="320" w:top="472" w:right="6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76" w:lineRule="auto"/>
        <w:rPr>
          <w:sz w:val="20"/>
          <w:szCs w:val="20"/>
          <w:color w:val="auto"/>
        </w:rPr>
      </w:pPr>
      <w:r>
        <w:rPr>
          <w:rFonts w:ascii="Times New Roman" w:cs="Times New Roman" w:eastAsia="Times New Roman" w:hAnsi="Times New Roman"/>
          <w:sz w:val="17"/>
          <w:szCs w:val="17"/>
          <w:color w:val="auto"/>
        </w:rPr>
        <w:t>of Business Conduct and Ethics includes specific FCPA related provisions in Section IV and VIII B. To further supplement the Code of Business Conduct and Ethics, 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Licenses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Concession Regime in Macau</w:t>
      </w:r>
    </w:p>
    <w:p>
      <w:pPr>
        <w:spacing w:after="0" w:line="122"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The Macau government conducted an international tender process for gaming concessions in Macau in 2022, and granted six gaming concessions to SJM, MGM Grand Paradise, Galaxy, Venetian Macau Limited (“VML”), 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VML, respectively. Our subsidiary, Melco Resorts Macau, executed the Subconcession Contract with Wynn Macau on September 8, 2006, which was extended until December 31, 2022 pursuant to the execution of an Amendment Agreement to the Subconcession Contract dated June 23, 2022, with Wynn Macau continuing to develop and run hotel operations and casino projects independent of ours. Upon the completion of the tender process for new concessions, Melco Resorts Macau was granted with a new gaming concession by the Macau government for a period of ten years, effective from January 1, 2023 until December 31, 2032, and entered into the respective Concession Contract on December 16, 2022. On February 10, 2026, the Concession Contract was amended to reflect the ongoing operations of City of Dreams Casino, Studio City Casino, Altira Casino and three Mocha Clubs since January 1, 2026.</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 summary of the key terms of the Concession Contract is as follows.</w:t>
      </w:r>
    </w:p>
    <w:p>
      <w:pPr>
        <w:spacing w:after="0" w:line="223"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All concessionaires must pay a special gaming tax of 35% of gross gaming revenues, defined as all gaming revenues derived from casino or gaming areas, plus an annual gaming premium of:</w:t>
      </w:r>
    </w:p>
    <w:p>
      <w:pPr>
        <w:spacing w:after="0" w:line="55" w:lineRule="exact"/>
        <w:rPr>
          <w:sz w:val="20"/>
          <w:szCs w:val="20"/>
          <w:color w:val="auto"/>
        </w:rPr>
      </w:pPr>
    </w:p>
    <w:p>
      <w:pPr>
        <w:ind w:left="1240" w:hanging="530"/>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MOP30 million (equivalent to approximately US$3.7 million) per annum fixed premium;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MOP300,000 (equivalent to approximately US$37,432) per annum per VIP gaming table;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MOP150,000 (equivalent to approximately US$18,716) per annum per mass market gaming table;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MOP1,000 (equivalent to approximately US$125) per annum per electric or mechanical gaming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subject to a minimum annual payment of an amount required for the operation of 500 gaming tables and 1,000 electronic gaming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machines.</w:t>
      </w:r>
    </w:p>
    <w:p>
      <w:pPr>
        <w:spacing w:after="0" w:line="205"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A special premium may be due by Melco Resorts Macau in the event the average gross gaming revenue of Melco Resorts Macau’s gaming tables does not reach the annual minimum of MOP7,000,000 (equivalent to approximately US$873,404) and the average gross gaming revenue of the gaming machines does not reach the annual minimum of MOP300,000 (equivalent to approximately US$37,432). The amount of the special premium is equivalent to the difference between the amount of the special gaming tax paid by Melco Resorts Macau and the amount that would be paid under the annual minimum set average gross gaming revenue for gaming tables and gaming machines.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Concession Contract in Macau</w:t>
      </w:r>
    </w:p>
    <w:p>
      <w:pPr>
        <w:spacing w:after="0" w:line="122"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The Concession Contract in Macau provides for the terms and conditions of the concession granted to Melco Resorts Macau with expiration on December 31, 2032. Melco Resorts Macau, pursuant to a legal restriction applicable to all concessionaires, does not have the right to grant a subconcession or transfer the operation to third parties.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960"/>
          </w:cols>
          <w:pgMar w:left="320" w:top="472" w:right="6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On December 16, 2022, Melco Resorts Macau was granted the right to operate games of chance in casinos in Macau under a new gaming concession effective from January 1, 2023 until the expiration of the concession on December 31, 2032.</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 summary of the key terms of the Concession Contract is as follows.</w:t>
      </w:r>
    </w:p>
    <w:p>
      <w:pPr>
        <w:spacing w:after="0" w:line="221"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Gaming and Non-Gaming Investment Obligations. </w:t>
      </w:r>
      <w:r>
        <w:rPr>
          <w:rFonts w:ascii="Times New Roman" w:cs="Times New Roman" w:eastAsia="Times New Roman" w:hAnsi="Times New Roman"/>
          <w:sz w:val="17"/>
          <w:szCs w:val="17"/>
          <w:color w:val="auto"/>
        </w:rPr>
        <w:t>The Concession Contract requires us to make a minimum investment in Macau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MOP11,823.7 million (equivalent to approximately US$1.48 billion).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Of the total investment amount referred to above, MOP10,008.0 million (equivalent to approximately US$1.25 billion) will be applied to non-gaming related projects, with the balance applied to gaming related projects. Melco Resorts Macau has undertaken to carry out incremental additional non-gaming investment in the amount of approximately 20% of its initial non-gaming investment, or MOP2,003.0 million (equivalent to approximately US$249.9 million), in the event Macau’s annual gross gaming revenue reaches MOP180.0 billion (equivalent to approximately US$22.46 billion), which occurred in 2023.</w:t>
      </w:r>
    </w:p>
    <w:p>
      <w:pPr>
        <w:spacing w:after="0" w:line="177" w:lineRule="exact"/>
        <w:rPr>
          <w:sz w:val="20"/>
          <w:szCs w:val="20"/>
          <w:color w:val="auto"/>
        </w:rPr>
      </w:pPr>
    </w:p>
    <w:p>
      <w:pPr>
        <w:ind w:left="300" w:right="160" w:firstLine="960"/>
        <w:spacing w:after="0" w:line="263" w:lineRule="auto"/>
        <w:rPr>
          <w:sz w:val="20"/>
          <w:szCs w:val="20"/>
          <w:color w:val="auto"/>
        </w:rPr>
      </w:pPr>
      <w:r>
        <w:rPr>
          <w:rFonts w:ascii="Times New Roman" w:cs="Times New Roman" w:eastAsia="Times New Roman" w:hAnsi="Times New Roman"/>
          <w:sz w:val="17"/>
          <w:szCs w:val="17"/>
          <w:color w:val="auto"/>
        </w:rPr>
        <w:t>The minimum investment includes investment projects related to gaming and non-gaming in areas such as international visitors, conventions and exhibitions, entertainment shows, sports events, culture and art, health and well-being, thematic entertainment, city of gastronomy, community tourism, maritime tourism, and others. If, after the completion of the execution of the investment plan under the Concession Contract, the total amount of expenses made by the concessionaire, directly or, with approval from the Macau government, indirectly, is lower than the global committed amount, the concessionaire undertakes to use the remaining amount on projects correlated to its activity to be designated by the concessionaire and accepted by the Macau government and/or on projects that are designated by the Macau government with significant public benefit to Macau.</w:t>
      </w:r>
    </w:p>
    <w:p>
      <w:pPr>
        <w:spacing w:after="0" w:line="387"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w:t>
      </w:r>
    </w:p>
    <w:p>
      <w:pPr>
        <w:spacing w:after="0" w:line="171"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Payments. </w:t>
      </w:r>
      <w:r>
        <w:rPr>
          <w:rFonts w:ascii="Times New Roman" w:cs="Times New Roman" w:eastAsia="Times New Roman" w:hAnsi="Times New Roman"/>
          <w:sz w:val="17"/>
          <w:szCs w:val="17"/>
          <w:color w:val="auto"/>
        </w:rPr>
        <w:t>Concession premiums and taxes, computed in various ways depending upon the type of gaming or activity involved,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annual amount equivalent to 2% of the gross gaming revenues to a public fund that has as purposes the promotion, development or study of cultural, social, economic, educational, scientific, academic and philanthropic actions. Furthermore, we are also obligated to contribute to Macau an amount equivalent to 3% of the gross gaming revenues for urban</w:t>
      </w: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940"/>
          </w:cols>
          <w:pgMar w:left="320" w:top="472" w:right="6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760"/>
        <w:spacing w:after="0" w:line="295" w:lineRule="auto"/>
        <w:rPr>
          <w:sz w:val="20"/>
          <w:szCs w:val="20"/>
          <w:color w:val="auto"/>
        </w:rPr>
      </w:pPr>
      <w:r>
        <w:rPr>
          <w:rFonts w:ascii="Times New Roman" w:cs="Times New Roman" w:eastAsia="Times New Roman" w:hAnsi="Times New Roman"/>
          <w:sz w:val="17"/>
          <w:szCs w:val="17"/>
          <w:color w:val="auto"/>
        </w:rPr>
        <w:t>development, tourism promotion and the social security of Macau. We are required to collect and pay, through withholding, statutory taxes on commissions or other remunerations paid to gaming promoters.</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 xml:space="preserve">Termination Rights. </w:t>
      </w:r>
      <w:r>
        <w:rPr>
          <w:rFonts w:ascii="Times New Roman" w:cs="Times New Roman" w:eastAsia="Times New Roman" w:hAnsi="Times New Roman"/>
          <w:sz w:val="17"/>
          <w:szCs w:val="17"/>
          <w:color w:val="auto"/>
        </w:rPr>
        <w:t>The Macau government has the right to unilaterally terminate Melco Resorts Macau’s concession in the event</w:t>
      </w:r>
    </w:p>
    <w:p>
      <w:pPr>
        <w:spacing w:after="0" w:line="34"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7"/>
          <w:szCs w:val="17"/>
          <w:color w:val="auto"/>
        </w:rPr>
        <w:t>of non-compliance by us with our basic obligations under the concession and applicable Macau laws. Upon termination, all of our casino premises and gaming equipment would revert or be transferred to the Macau government automatically without compensation to us and we would cease to generate any revenues from these operations. In many of these instances, the Concession Contract does not provide a specific cure period within which any such events may be cured and, instead, we may be dependent on consultations and negotiations with the Macau government to give us an opportunity to remedy any such default. Melco Resorts Macau is not granted with explicit rights of veto, or of prior consultation. The Macau government may be able to unilaterally rescind the Concession Contract upon the following termination events:</w:t>
      </w:r>
    </w:p>
    <w:p>
      <w:pPr>
        <w:spacing w:after="0" w:line="83" w:lineRule="exact"/>
        <w:rPr>
          <w:sz w:val="20"/>
          <w:szCs w:val="20"/>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of gaming without permission or operation of business which does not fall within the business scope of the concession;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abandonment of approved business or suspension of operations of our gaming business in Macau without reasonable grounds;</w:t>
      </w:r>
    </w:p>
    <w:p>
      <w:pPr>
        <w:spacing w:after="0" w:line="131" w:lineRule="exact"/>
        <w:rPr>
          <w:rFonts w:ascii="Times New Roman" w:cs="Times New Roman" w:eastAsia="Times New Roman" w:hAnsi="Times New Roman"/>
          <w:sz w:val="17"/>
          <w:szCs w:val="17"/>
          <w:color w:val="auto"/>
        </w:rPr>
      </w:pPr>
    </w:p>
    <w:p>
      <w:pPr>
        <w:ind w:left="1240" w:right="580" w:hanging="530"/>
        <w:spacing w:after="0" w:line="295"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all or part of Melco Resorts Macau’s operation in Macau in violation of the relevant laws and administrative regulations governing the operation of games of chance in casino in Macau and without Macau government approval;</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taxes, premiums, levies or other amounts payable to the Macau government;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or failure to resume operations following the temporary assumption of operations by the Macau government;</w:t>
      </w:r>
    </w:p>
    <w:p>
      <w:pPr>
        <w:spacing w:after="0" w:line="131" w:lineRule="exact"/>
        <w:rPr>
          <w:rFonts w:ascii="Times New Roman" w:cs="Times New Roman" w:eastAsia="Times New Roman" w:hAnsi="Times New Roman"/>
          <w:sz w:val="17"/>
          <w:szCs w:val="17"/>
          <w:color w:val="auto"/>
        </w:rPr>
      </w:pPr>
    </w:p>
    <w:p>
      <w:pPr>
        <w:ind w:left="1240" w:right="1260" w:hanging="530"/>
        <w:spacing w:after="0" w:line="295"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opposition to the supervision and inspection by the Macau government and failure to comply with decisions and recommendations of the Macau government, especially those of the DICJ, applicable to us;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provide or supplement the guarantee deposit or the guarantees specified in the concession within the prescribed period;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or insolvency of Melco Resorts Macau;</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fraudulent activity harming public interest;</w:t>
      </w:r>
    </w:p>
    <w:p>
      <w:pPr>
        <w:spacing w:after="0" w:line="131" w:lineRule="exact"/>
        <w:rPr>
          <w:rFonts w:ascii="Times New Roman" w:cs="Times New Roman" w:eastAsia="Times New Roman" w:hAnsi="Times New Roman"/>
          <w:sz w:val="17"/>
          <w:szCs w:val="17"/>
          <w:color w:val="auto"/>
        </w:rPr>
      </w:pPr>
    </w:p>
    <w:p>
      <w:pPr>
        <w:ind w:left="1240" w:right="360" w:hanging="530"/>
        <w:spacing w:after="0" w:line="295"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repeated violation of the applicable rules for carrying out games of chance in casino or damage to the fairness of games of chance in casino;</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systematic non-compliance with the Macau Gaming Operations Law’s or Concession Contract’s obligations; or</w:t>
      </w:r>
    </w:p>
    <w:p>
      <w:pPr>
        <w:spacing w:after="0" w:line="131"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non-compliance with the investment amount and the respective criteria provided for in the Concession Contract, within the deadline set out by the Secretary for Economy and Finance.</w:t>
      </w:r>
    </w:p>
    <w:p>
      <w:pPr>
        <w:spacing w:after="0" w:line="147" w:lineRule="exact"/>
        <w:rPr>
          <w:sz w:val="20"/>
          <w:szCs w:val="20"/>
          <w:color w:val="auto"/>
        </w:rPr>
      </w:pPr>
    </w:p>
    <w:p>
      <w:pPr>
        <w:ind w:left="300" w:right="400" w:firstLine="960"/>
        <w:spacing w:after="0" w:line="269" w:lineRule="auto"/>
        <w:rPr>
          <w:sz w:val="20"/>
          <w:szCs w:val="20"/>
          <w:color w:val="auto"/>
        </w:rPr>
      </w:pPr>
      <w:r>
        <w:rPr>
          <w:rFonts w:ascii="Times New Roman" w:cs="Times New Roman" w:eastAsia="Times New Roman" w:hAnsi="Times New Roman"/>
          <w:sz w:val="17"/>
          <w:szCs w:val="17"/>
          <w:color w:val="auto"/>
        </w:rPr>
        <w:t>In addition, the Macau government may, from the eighth year of the Concession, redeem the Concession by notice to Melco Resorts Macau at least one year in advance. Pursuant to such redemption, the Macau government would assume all rights and obligations of Melco Resorts Macau resulting from business legally and validly conducted by Melco Resorts Macau before the date of the redemption notice and Melco Resorts Macau would have a right to obtain reasonable and fair compensation under applicable Macau law.</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Ownership and Capitalization. Set out below are the key terms in relation to ownership and capitalization under the Concession Contract:</w:t>
      </w:r>
    </w:p>
    <w:p>
      <w:pPr>
        <w:spacing w:after="0" w:line="131" w:lineRule="exact"/>
        <w:rPr>
          <w:sz w:val="20"/>
          <w:szCs w:val="20"/>
          <w:color w:val="auto"/>
        </w:rPr>
      </w:pPr>
    </w:p>
    <w:p>
      <w:pPr>
        <w:ind w:left="1240" w:right="940" w:hanging="530"/>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 capital and net asset value of Melco Resorts Macau cannot be less than MOP5,000,000,000 (equivalent to approximately US$623,859,974) and, to guarantee its performance</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940"/>
          </w:cols>
          <w:pgMar w:left="320" w:top="472" w:right="6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60"/>
        <w:spacing w:after="0" w:line="276" w:lineRule="auto"/>
        <w:rPr>
          <w:sz w:val="20"/>
          <w:szCs w:val="20"/>
          <w:color w:val="auto"/>
        </w:rPr>
      </w:pPr>
      <w:r>
        <w:rPr>
          <w:rFonts w:ascii="Times New Roman" w:cs="Times New Roman" w:eastAsia="Times New Roman" w:hAnsi="Times New Roman"/>
          <w:sz w:val="17"/>
          <w:szCs w:val="17"/>
          <w:color w:val="auto"/>
        </w:rPr>
        <w:t>of certain of its legal and contractual obligations, including labor obligations, Melco Resorts Macau must maintain a guarantee issued by a Macau SAR bank in favor of the Macau SAR in the amount of MOP1,000,000,000 (equivalent to approximately US$124,771,995) until 180 days after the earlier of the expiration or termination of the Concession;</w:t>
      </w:r>
    </w:p>
    <w:p>
      <w:pPr>
        <w:spacing w:after="0" w:line="70" w:lineRule="exact"/>
        <w:rPr>
          <w:sz w:val="20"/>
          <w:szCs w:val="20"/>
          <w:color w:val="auto"/>
        </w:rPr>
      </w:pPr>
    </w:p>
    <w:p>
      <w:pPr>
        <w:ind w:left="1240" w:right="640" w:hanging="530"/>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director of Melco Resorts Macau must be a permanent resident of the Macau SAR and must hold at least 15% of the registered share capital of Melco Resorts Macau;</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directly acquires voting rights in Melco Resorts Macau will be subject to authorization from the Macau government;</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76"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will be required to take the necessary measures to ensure that any person who directly or indirectly acquires more than 5% of the shares in Melco Resorts Macau would be subject to authorization from the Macau government, except when such acquisition is wholly made through the shares of publicly-listed companies tradable at a stock exchange;</w:t>
      </w:r>
    </w:p>
    <w:p>
      <w:pPr>
        <w:spacing w:after="0" w:line="70" w:lineRule="exact"/>
        <w:rPr>
          <w:rFonts w:ascii="Times New Roman" w:cs="Times New Roman" w:eastAsia="Times New Roman" w:hAnsi="Times New Roman"/>
          <w:sz w:val="17"/>
          <w:szCs w:val="17"/>
          <w:color w:val="auto"/>
        </w:rPr>
      </w:pPr>
    </w:p>
    <w:p>
      <w:pPr>
        <w:ind w:left="1240" w:right="440" w:hanging="530"/>
        <w:spacing w:after="0" w:line="276"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directly or indirectly acquires more than 5% of the shares in Melco Resorts Macau will be required to report the acquisition to the Macau government (except when such acquisition is wholly made through shares tradable on a stock exchange as a publicly-listed company);</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government’s prior approval would be required for any recapitalization plan of Melco Resorts Macau;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 Macau could require the increase of Melco Resorts Macau’s share capital, if deemed necessary.</w:t>
      </w:r>
    </w:p>
    <w:p>
      <w:pPr>
        <w:spacing w:after="0" w:line="221" w:lineRule="exact"/>
        <w:rPr>
          <w:sz w:val="20"/>
          <w:szCs w:val="20"/>
          <w:color w:val="auto"/>
        </w:rPr>
      </w:pPr>
    </w:p>
    <w:p>
      <w:pPr>
        <w:ind w:left="300" w:right="28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Others. </w:t>
      </w:r>
      <w:r>
        <w:rPr>
          <w:rFonts w:ascii="Times New Roman" w:cs="Times New Roman" w:eastAsia="Times New Roman" w:hAnsi="Times New Roman"/>
          <w:sz w:val="17"/>
          <w:szCs w:val="17"/>
          <w:color w:val="auto"/>
        </w:rPr>
        <w:t>In addition, the Concession Contract contains various general covenants and obligations and other provisions, including special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duties of cooperation, special duties of information, and execution of our investment obligations.</w:t>
      </w:r>
    </w:p>
    <w:p>
      <w:pPr>
        <w:spacing w:after="0" w:line="144"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Transfers of property and credit rights of Melco Resorts Macau exceeding MOP100,000,000 (equivalent to approximately US$12,477,199) and loan agreements or similar arrangements executed by Melco Resorts Macau as borrower or creditor equal to or exceeding that amount are each subject to approval by the Macau SAR government, except for those loan agreements related to credit granted for gaming purposes. The issue of debt securities by Melco Resorts Macau is also subject to approval by the Macau government and the Concession prohibits Melco Resorts Macau from being listed on a stock exchange. The Concession requires that prior notice be given to the Macau government of financial decisions relating to the internal movement of funds of Melco Resorts Macau exceeding 50% of its registered capital, financial decisions relating to salaries, remuneration or benefits of employees, among others, exceeding 10% of its registered capital and other financial decisions exceeding 10% of its registered capital.</w:t>
      </w:r>
    </w:p>
    <w:p>
      <w:pPr>
        <w:spacing w:after="0" w:line="173" w:lineRule="exact"/>
        <w:rPr>
          <w:sz w:val="20"/>
          <w:szCs w:val="20"/>
          <w:color w:val="auto"/>
        </w:rPr>
      </w:pPr>
    </w:p>
    <w:p>
      <w:pPr>
        <w:ind w:left="300" w:right="200" w:firstLine="960"/>
        <w:spacing w:after="0" w:line="273" w:lineRule="auto"/>
        <w:rPr>
          <w:sz w:val="20"/>
          <w:szCs w:val="20"/>
          <w:color w:val="auto"/>
        </w:rPr>
      </w:pPr>
      <w:r>
        <w:rPr>
          <w:rFonts w:ascii="Times New Roman" w:cs="Times New Roman" w:eastAsia="Times New Roman" w:hAnsi="Times New Roman"/>
          <w:sz w:val="17"/>
          <w:szCs w:val="17"/>
          <w:color w:val="auto"/>
        </w:rPr>
        <w:t>The Concession Contract provides for Melco Resorts Macau’s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revert or be transferred to the Macau SAR without compensation.</w:t>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PAGCOR Licenses in the Philippines</w:t>
      </w:r>
    </w:p>
    <w:p>
      <w:pPr>
        <w:spacing w:after="0" w:line="122"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The Philippine License issued by PAGCOR authorizes the Philippine Licensees, through Melco Resorts Leisure, to establish and operate a casino in the Philippines for both local and foreign patrons who are at least 21 years of age.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general, the Philippine License imposes certain obligations such as, but not limited to, the following:</w:t>
      </w:r>
    </w:p>
    <w:p>
      <w:pPr>
        <w:spacing w:after="0" w:line="131" w:lineRule="exact"/>
        <w:rPr>
          <w:sz w:val="20"/>
          <w:szCs w:val="20"/>
          <w:color w:val="auto"/>
        </w:rPr>
      </w:pPr>
    </w:p>
    <w:p>
      <w:pPr>
        <w:ind w:left="1240" w:hanging="530"/>
        <w:spacing w:after="0"/>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monthly license fees to PAGCOR;</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960"/>
          </w:cols>
          <w:pgMar w:left="320" w:top="472" w:right="6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280" w:hanging="530"/>
        <w:spacing w:after="0" w:line="295"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debt-to-equity ratio (based on calculation as agreed with PAGCOR) for each of the Philippine Licensees of no greater than 70:30;</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95.0% of the total employees of City of Dreams Manila must be Philippine citizens;</w:t>
      </w:r>
    </w:p>
    <w:p>
      <w:pPr>
        <w:spacing w:after="0" w:line="131" w:lineRule="exact"/>
        <w:rPr>
          <w:rFonts w:ascii="Times New Roman" w:cs="Times New Roman" w:eastAsia="Times New Roman" w:hAnsi="Times New Roman"/>
          <w:sz w:val="17"/>
          <w:szCs w:val="17"/>
          <w:color w:val="auto"/>
        </w:rPr>
      </w:pPr>
    </w:p>
    <w:p>
      <w:pPr>
        <w:ind w:left="1240" w:right="1280" w:hanging="530"/>
        <w:spacing w:after="0" w:line="295"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certain casino revenues must be remitted to a foundation devoted to the restoration of cultural heritage and 5.0% of certain non-gaming revenues to PAGCOR;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 of only the authorized casino games approved by PAGCOR.</w:t>
      </w:r>
    </w:p>
    <w:p>
      <w:pPr>
        <w:spacing w:after="0" w:line="223"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See “Item 3. Key Information — D. Risk Factors — Risks Relating to Operating in the Gaming Industry in the Philippines — MRP’s gaming operations are dependent on the Philippine License issued by PAGCOR.”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License in Cyprus</w:t>
      </w:r>
    </w:p>
    <w:p>
      <w:pPr>
        <w:spacing w:after="0" w:line="122"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Under the Cyprus License, Integrated Casino Resorts is granted the right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The Cyprus License imposes certain requirements on Integrated Casino Resorts and their service providers.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Cyprus License is also subject to suspension or termination upon the occurrence of certain events. The requirements imposed by the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Cyprus License include, among others:</w:t>
      </w:r>
    </w:p>
    <w:p>
      <w:pPr>
        <w:spacing w:after="0" w:line="113" w:lineRule="exact"/>
        <w:rPr>
          <w:sz w:val="20"/>
          <w:szCs w:val="20"/>
          <w:color w:val="auto"/>
        </w:rPr>
      </w:pPr>
    </w:p>
    <w:p>
      <w:pPr>
        <w:ind w:left="1240" w:right="60" w:hanging="530"/>
        <w:spacing w:after="0" w:line="263"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 annual license fee of EUR2.5 million (equivalent to approximately US$2.9 million) per year for the first four-year period commencing from the date of grant of the Cyprus License on June 26, 2017 and an annual license fee of EUR5.0 million (equivalent to approximately US$5.9 million) per year for the second four-year period as annual license fees for the operation of the temporary casino and City of Dreams Mediterranean to the government of Cyprus. Upon completion of the above eight-year period and for each four-year period thereafter, the government of Cyprus may review the annual license fee payable for each four-year term, provided that the annual license fee payable per year shall be no less than EUR5.0 million (equivalent to approximately US$5.9 million) and subject to a maximum percentage increase.</w:t>
      </w:r>
    </w:p>
    <w:p>
      <w:pPr>
        <w:spacing w:after="0" w:line="81" w:lineRule="exact"/>
        <w:rPr>
          <w:rFonts w:ascii="Times New Roman" w:cs="Times New Roman" w:eastAsia="Times New Roman" w:hAnsi="Times New Roman"/>
          <w:sz w:val="17"/>
          <w:szCs w:val="17"/>
          <w:color w:val="auto"/>
        </w:rPr>
      </w:pPr>
    </w:p>
    <w:p>
      <w:pPr>
        <w:ind w:left="1240" w:right="40" w:hanging="530"/>
        <w:spacing w:after="0" w:line="269"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annual license fee of EUR1.0 million (equivalent to approximately US$1.2 million) per year for the satellite casino in Nicosia since its commencement of operations in 2018 and annual license fee of EUR0.5 million (equivalent to approximately US$0.6 million) per year for each of the satellite casinos in Larnaca (which ceased operation in June 2020), Ayia Napa and Paphos since their operations commenced in 2018, 2019 and 2020, respectively.</w:t>
      </w:r>
    </w:p>
    <w:p>
      <w:pPr>
        <w:spacing w:after="0" w:line="77" w:lineRule="exact"/>
        <w:rPr>
          <w:rFonts w:ascii="Times New Roman" w:cs="Times New Roman" w:eastAsia="Times New Roman" w:hAnsi="Times New Roman"/>
          <w:sz w:val="17"/>
          <w:szCs w:val="17"/>
          <w:color w:val="auto"/>
        </w:rPr>
      </w:pPr>
    </w:p>
    <w:p>
      <w:pPr>
        <w:ind w:left="1240" w:right="180" w:hanging="530"/>
        <w:spacing w:after="0" w:line="295"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 monthly casino tax of an amount equal to 15% of the gross gaming revenue, such percentage not to be increased during the initial 15-year exclusivity period under the Cyprus License.</w:t>
      </w:r>
    </w:p>
    <w:p>
      <w:pPr>
        <w:spacing w:after="0" w:line="147" w:lineRule="exact"/>
        <w:rPr>
          <w:sz w:val="20"/>
          <w:szCs w:val="20"/>
          <w:color w:val="auto"/>
        </w:rPr>
      </w:pPr>
    </w:p>
    <w:p>
      <w:pPr>
        <w:jc w:val="both"/>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See “Item 3. Key Information — D. Risk Factors — Risks Relating to Operating in the Gaming Industry in Cyprus — Cyprus’ gaming operations are dependent on the Cyprus License issued by CGC and any failure to comply with the terms of the Cyprus License could have a material adverse effect on our business, financial condition and results of operations.”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License in Sri Lanka</w:t>
      </w:r>
    </w:p>
    <w:p>
      <w:pPr>
        <w:spacing w:after="0" w:line="122" w:lineRule="exact"/>
        <w:rPr>
          <w:sz w:val="20"/>
          <w:szCs w:val="20"/>
          <w:color w:val="auto"/>
        </w:rPr>
      </w:pPr>
    </w:p>
    <w:p>
      <w:pPr>
        <w:ind w:left="300" w:right="420" w:firstLine="960"/>
        <w:spacing w:after="0" w:line="295" w:lineRule="auto"/>
        <w:rPr>
          <w:sz w:val="20"/>
          <w:szCs w:val="20"/>
          <w:color w:val="auto"/>
        </w:rPr>
      </w:pPr>
      <w:r>
        <w:rPr>
          <w:rFonts w:ascii="Times New Roman" w:cs="Times New Roman" w:eastAsia="Times New Roman" w:hAnsi="Times New Roman"/>
          <w:sz w:val="17"/>
          <w:szCs w:val="17"/>
          <w:color w:val="auto"/>
        </w:rPr>
        <w:t>The Sri Lanka License, which was issued on March 27, 2024, allows Bluehaven Services to conduct a casino business within City of Dreams Sri Lanka for a period of 20 years from April 1, 2024.</w:t>
      </w:r>
    </w:p>
    <w:p>
      <w:pPr>
        <w:spacing w:after="0" w:line="147"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Sri Lanka License, the GRA Act and regulations issued under the previous Casino Business (Regulation) Act, No. 17 of 2010, provide the main regulatory framework to conduct and operate a casino business in Sri Lanka.</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940"/>
          </w:cols>
          <w:pgMar w:left="320" w:top="472" w:right="6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There are limited operational requirements prescribed under the GRA Act and the regulations issued under the previous Casino Business (Regulation) Act, No. 17 of 2010, which are still valid to the extent they are not inconsistent with the GRA Act. These include the requirement to appoint a compliance officer to ensure adherence to laws and license terms, prohibiting certain activities such as unlicensed money lending, disorderly or illegal activities, preventing those under the legal minimum age from entering or gambling in casinos, and conspicuously displaying gambling licenses in the licensed premises. Operators must maintain separate accounts with a Sri Lankan commercial bank, adhere to Sri Lanka Accounting Standards, submit audited financial statements within six months of the financial year-end, and retain financial records for six years. Key employees involved in gaming operations, money handling, security and surveillance must be properly trained and fit for their roles.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Tax</w:t>
      </w:r>
    </w:p>
    <w:p>
      <w:pPr>
        <w:spacing w:after="0" w:line="120"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and certain subsidiaries are subject to Hong Kong profits tax of 16.5% on profits arising from our activities conducted in Hong Kong.</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Our subsidiaries incorporated in the British Virgin Islands are not subject to tax in the British Virgin Islands, but certain of our subsidiaries incorporated in the British Virgin Islands are subject to Hong Kong profits tax of 16.5% on profits arising from our activities conducted in Hong Kong and Macau complementary tax of up to 12% on profits earned in or derived from its activities conducted in Macau.</w:t>
      </w:r>
    </w:p>
    <w:p>
      <w:pPr>
        <w:spacing w:after="0" w:line="162"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Our subsidiaries incorporated in Macau are subject to Macau complementary tax of up to 12% on profits earned in or derived from their activities conducted in Macau. Melco Resorts Macau applied for and was granted the benefit of a complementary tax exemption on Macau complementary tax (but not gaming tax) for the period from January 1, 2023 to December 31, 2027 pursuant to a Dispatch of the Chief Executive of Macau dated January 29, 2024. The non-gaming profits of Melco Resorts Macau remain subject to the Macau complementary tax. In addition, the Macau government granted Studio City Entertainment the complementary tax exemption until 2021 on profits generated from income received from Melco Resorts Macau, to the extent that such income is derived from Studio City gaming operations and has been subject to gaming tax. The dividend distributions of Studio City Entertainment from tax exempted profits to its shareholders continue to be subject to complementary tax. Studio City Entertainment applied for an extension of the Macau complementary tax exemption for the period from January 1, 2022 to December 31, 2022 and further for the period from January 1, 2023 to December 31, 2032. The application for 2023 to 2032 was rejected and an objection to such decision was denied in a notice dated September 4, 2024. We remain subject to Macau complementary tax on our non-gaming profits.</w:t>
      </w:r>
    </w:p>
    <w:p>
      <w:pPr>
        <w:spacing w:after="0" w:line="174"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In February 2024, Melco Resorts Macau entered into an agreement with the Macau government for an annual payment with respect to tax due for dividend distributions to the shareholders of Melco Resorts Macau from gaming profits, whether such dividends are actually distributed by Melco Resorts Macau or not, for the period from 2023 through 2025. Upon the payment of such amount, the shareholders of Melco Resorts Macau will not be liable to pay any other tax in Macau for dividend distributions received from gaming profits. Melco Resorts Macau submitted an application in October 2025 for an extension to the agreement for an annual payment for the period from 2026 through 2027 and such application is currently under review by the Macau government. There is no assurance that the same arrangement will be applied beyond the period previously agreed upon or, in the event a similar arrangement is adopted, whether we will be required to pay a higher annual sum.</w:t>
      </w:r>
    </w:p>
    <w:p>
      <w:pPr>
        <w:spacing w:after="0" w:line="173"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Melco Resorts Macau is subject to Macau gaming tax based on gross gaming revenue in Macau. These gaming taxes are an assessment on Melco Resorts Macau’s gaming revenue and are recorded as casino expense.</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920"/>
          </w:cols>
          <w:pgMar w:left="320" w:top="472" w:right="6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Hotels was transferred from Studio City Hotels to Studio City Developments Limited, the owner of the Studio City property. In July 2023, the Macau government granted the declaration of touristic utility purpose to Studio City Developments Limited pursuant to which Studio City Developments Limited is entitled to the property tax holiday and is allowed to double the maximum rates applicable to depreciation and reintegration for the purposes of assessment of the Macau complementary tax.</w:t>
      </w:r>
    </w:p>
    <w:p>
      <w:pPr>
        <w:spacing w:after="0" w:line="175"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6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Philippines, on March 26, 2021, the Corporate Recovery and Tax Incentives for Enterprises (“CREATE”) was signed and took effect on April 11, 2021. CREATE reduced the minimum corporate income tax rate from 2% to 1% for the period from July 1, 2020 to June 30, 2023 and the corporate income tax rate from 30% to 25% starting July 1, 2020. Certain of our subsidiaries are liable for VAT on certain transactions. For gaming-related transactions in our Philippines operations, Melco Resorts Leisure currently enjoys exemptions from national, local, direct and indirect taxes, including VAT, in the Philippines pursuant to the PAGCOR charter, as a result of its payment of the 5% franchise tax directly payable to the BIR based on gross gaming revenue in the Philippines. Melco Resorts Leisure is also subject to license fees in accordance with the PAGCOR charter.</w:t>
      </w:r>
    </w:p>
    <w:p>
      <w:pPr>
        <w:spacing w:after="0" w:line="173"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The franchise tax and license fees are an assessment on Melco Resorts Leisure’s gaming revenue and are recorded as casino expense in the consolidated statements of operations. 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169"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In 2022, the BIR issued Revenue Memorandum Circular No. 32-2022, which sought to impose 12% VAT on gaming revenue. While Melco Resorts Leisure and the other integrated resorts submitted a joint letter to the BIR challenging the imposition of VAT on gaming transactions, there is no assurance that we will prevail on any challenge and any assessment of VAT on our gaming revenue could have a material adverse effect on our business, financial condition and results of operations. In December 2024, the BIR issued Revenue Memorandum Circular No. 132-2024 clarifying and upholding that the 5% franchise tax on the income derived from the gaming operations of PAGCOR, its licensees and contractees shall be in lieu of all local and national taxes including indirect taxes such as VAT.</w:t>
      </w:r>
    </w:p>
    <w:p>
      <w:pPr>
        <w:spacing w:after="0" w:line="173"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Our subsidiaries incorporated in Cyprus were subject to Cyprus corporate income tax of 12.5% on profit earned in or derived from Cyprus and abroad and such tax rate increased to 15% with effect from January 1, 2026. Our gaming revenues in Cyprus are exempt from VAT while certain of our subsidiaries are subject to VAT on certain non-gaming transactions. Pursuant to the Cyprus License and under the Law, a casino tax of 15% is imposed on gross gaming revenues in Cyprus. These casino taxes are recorded as a casino expense in the consolidated statements of operations.</w:t>
      </w:r>
    </w:p>
    <w:p>
      <w:pPr>
        <w:spacing w:after="0" w:line="169" w:lineRule="exact"/>
        <w:rPr>
          <w:sz w:val="20"/>
          <w:szCs w:val="20"/>
          <w:color w:val="auto"/>
        </w:rPr>
      </w:pPr>
    </w:p>
    <w:p>
      <w:pPr>
        <w:jc w:val="both"/>
        <w:ind w:left="300" w:right="340" w:firstLine="960"/>
        <w:spacing w:after="0" w:line="276" w:lineRule="auto"/>
        <w:rPr>
          <w:sz w:val="20"/>
          <w:szCs w:val="20"/>
          <w:color w:val="auto"/>
        </w:rPr>
      </w:pPr>
      <w:r>
        <w:rPr>
          <w:rFonts w:ascii="Times New Roman" w:cs="Times New Roman" w:eastAsia="Times New Roman" w:hAnsi="Times New Roman"/>
          <w:sz w:val="17"/>
          <w:szCs w:val="17"/>
          <w:color w:val="auto"/>
        </w:rPr>
        <w:t>Our subsidiaries incorporated in Sri Lanka are subject to Sri Lanka corporate income tax of 45% on gains and profits from betting and gaming activities, while profits of other businesses are subject to tax of 30% on profit earned in or derived from Sri Lanka and abroad. Our gaming revenues in Sri Lanka are exempt from</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940"/>
          </w:cols>
          <w:pgMar w:left="320" w:top="472" w:right="6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VAT while certain of our subsidiaries are subject to VAT on certain non-gaming transactions. A monthly gross collection levy of 18% of the total collections from the business of gaming (exempted if monthly gross collections do not exceed LKR1 million (equivalent to approximately US$3,225)) is payable to the government of Sri Lanka.</w:t>
      </w:r>
    </w:p>
    <w:p>
      <w:pPr>
        <w:spacing w:after="0" w:line="162" w:lineRule="exact"/>
        <w:rPr>
          <w:sz w:val="20"/>
          <w:szCs w:val="20"/>
          <w:color w:val="auto"/>
        </w:rPr>
      </w:pPr>
    </w:p>
    <w:p>
      <w:pPr>
        <w:jc w:val="both"/>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Certain jurisdictions in which we operate have enacted Pillar Two, which impose a global minimum effective tax rate of 15% and became effective on January 1, 2024. We are in scope of the enacted legislation and may be subject to Pillar Two top-up taxes in those jurisdictions to the extent the effective tax rate in any relevant jurisdiction, as calculated under such enacted legislation, falls below 15%.</w:t>
      </w:r>
    </w:p>
    <w:p>
      <w:pPr>
        <w:spacing w:after="0" w:line="3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120" w:lineRule="exact"/>
        <w:rPr>
          <w:sz w:val="20"/>
          <w:szCs w:val="20"/>
          <w:color w:val="auto"/>
        </w:rPr>
      </w:pPr>
    </w:p>
    <w:p>
      <w:pPr>
        <w:ind w:left="300" w:right="220" w:firstLine="960"/>
        <w:spacing w:after="0" w:line="267" w:lineRule="auto"/>
        <w:rPr>
          <w:sz w:val="20"/>
          <w:szCs w:val="20"/>
          <w:color w:val="auto"/>
        </w:rPr>
      </w:pPr>
      <w:r>
        <w:rPr>
          <w:rFonts w:ascii="Times New Roman" w:cs="Times New Roman" w:eastAsia="Times New Roman" w:hAnsi="Times New Roman"/>
          <w:sz w:val="17"/>
          <w:szCs w:val="17"/>
          <w:color w:val="auto"/>
        </w:rPr>
        <w:t>We are a Cayman Islands holding company for the following principal businesses and developments: (1) 100% economic interest in our Macau gaming concession holder, Melco Resorts Macau, which, directly or indirectly through its subsidiary, is the operator of our</w:t>
      </w:r>
    </w:p>
    <w:p>
      <w:pPr>
        <w:spacing w:after="0" w:line="1" w:lineRule="exact"/>
        <w:rPr>
          <w:sz w:val="20"/>
          <w:szCs w:val="20"/>
          <w:color w:val="auto"/>
        </w:rPr>
      </w:pPr>
    </w:p>
    <w:p>
      <w:pPr>
        <w:ind w:left="300" w:right="140"/>
        <w:spacing w:after="0" w:line="260" w:lineRule="auto"/>
        <w:rPr>
          <w:sz w:val="20"/>
          <w:szCs w:val="20"/>
          <w:color w:val="auto"/>
        </w:rPr>
      </w:pPr>
      <w:r>
        <w:rPr>
          <w:rFonts w:ascii="Times New Roman" w:cs="Times New Roman" w:eastAsia="Times New Roman" w:hAnsi="Times New Roman"/>
          <w:sz w:val="17"/>
          <w:szCs w:val="17"/>
          <w:color w:val="auto"/>
        </w:rPr>
        <w:t>gaming and non-gaming businesses in various properties in Macau; (2) a majority equity and economic interest in SCI, the holding company of Studio City; (3) a majority equity and economic interest in MRP, the holding company of City of Dreams Manila; and (4) a majority equity and economic interest in ICR Cyprus, the holding company of our current operations in Cyprus including City of Dreams Mediterranean and three satellite casinos in Nicosia, Ayia Napa and Paphos. Our operations are conducted by our subsidiaries. Investors may never directly hold equity interests in our operating subsidiaries.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940"/>
          </w:cols>
          <w:pgMar w:left="320" w:top="472" w:right="6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The following diagram illustrates our organizational structure, including the place of formation, ownership interest and affiliation of our significant subsidiaries, as of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121285</wp:posOffset>
            </wp:positionV>
            <wp:extent cx="7015480" cy="5219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5480" cy="521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31" w:lineRule="exact"/>
        <w:rPr>
          <w:sz w:val="20"/>
          <w:szCs w:val="20"/>
          <w:color w:val="auto"/>
        </w:rPr>
      </w:pPr>
    </w:p>
    <w:p>
      <w:pPr>
        <w:ind w:left="820" w:right="240" w:hanging="528"/>
        <w:spacing w:after="0" w:line="269" w:lineRule="auto"/>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1,220,376,014 shares outstanding as of March 6, 2026. The 1,220,376,014 shares outstanding include shares held by our depositary bank to facilitate the administration and operation of our share incentive plans. Such shares represent 1.67% of the Company’s outstanding shares as of March 6, 2026. For a description of our share incentive plans, see “Item 6. Directors, Senior Management and Employees — E. Share Ownership — Share Incentive Plans.”</w:t>
      </w:r>
    </w:p>
    <w:p>
      <w:pPr>
        <w:spacing w:after="0" w:line="77" w:lineRule="exact"/>
        <w:rPr>
          <w:rFonts w:ascii="Times New Roman" w:cs="Times New Roman" w:eastAsia="Times New Roman" w:hAnsi="Times New Roman"/>
          <w:sz w:val="17"/>
          <w:szCs w:val="17"/>
          <w:color w:val="auto"/>
        </w:rPr>
      </w:pPr>
    </w:p>
    <w:p>
      <w:pPr>
        <w:ind w:left="820" w:right="80" w:hanging="528"/>
        <w:spacing w:after="0" w:line="276" w:lineRule="auto"/>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50% of the equity interests of these companies are owned by Studio City Holdings Five Limited, a wholly-owned subsidiary of SCI. The 50% interest held by Studio City Holdings Five Limited in various Studio City companies incorporated in the British Virgin Islands is non-voting.</w:t>
      </w:r>
    </w:p>
    <w:p>
      <w:pPr>
        <w:spacing w:after="0" w:line="70"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0.02% of the equity interests are owned by Studio City Holdings Five Limited.</w:t>
      </w:r>
    </w:p>
    <w:p>
      <w:pPr>
        <w:spacing w:after="0" w:line="131"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5% of the equity interests are owned by MCO Nominee Two Limited.</w:t>
      </w:r>
    </w:p>
    <w:p>
      <w:pPr>
        <w:spacing w:after="0" w:line="131"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0.089% of the equity interests are owned by Melco International.</w:t>
      </w:r>
    </w:p>
    <w:p>
      <w:pPr>
        <w:spacing w:after="0" w:line="223"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See “Item 7. Major Shareholders and Related Party Transactions — A. Major Shareholders” for more information regarding the beneficial ownership of Melco International in our Company and “Exhibit 8.1 — List of Significant Subsidiaries.”</w:t>
      </w:r>
    </w:p>
    <w:p>
      <w:pPr>
        <w:sectPr>
          <w:pgSz w:w="11900" w:h="16838" w:orient="portrait"/>
          <w:cols w:equalWidth="0" w:num="1">
            <w:col w:w="10900"/>
          </w:cols>
          <w:pgMar w:left="320" w:top="472" w:right="679" w:bottom="1440" w:gutter="0" w:footer="0" w:header="0"/>
        </w:sectPr>
      </w:pPr>
    </w:p>
    <w:p>
      <w:pPr>
        <w:spacing w:after="0" w:line="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900"/>
          </w:cols>
          <w:pgMar w:left="320" w:top="472" w:right="67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PROPERTY, PLANT AND EQUIPMENT</w:t>
      </w:r>
    </w:p>
    <w:p>
      <w:pPr>
        <w:spacing w:after="0" w:line="225"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See “Item 4. Information on the Company — B. Business Overview,” “Item 5. Operating and Financial Review and Prospects — B. Liquidity and Capital Resources — Cash Flows — Investing Activities” and “— Other Financing and Liquidity Matters” for information regarding our material tangible property, plant and equipment.</w:t>
      </w:r>
    </w:p>
    <w:p>
      <w:pPr>
        <w:spacing w:after="0" w:line="30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20"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We are a holding company and, through our subsidiaries, develop, own and operate integrated resort facilities in Asia and Europe.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 OPERATING RESULTS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primary business segments consist of:</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City of Dreams</w:t>
      </w:r>
    </w:p>
    <w:p>
      <w:pPr>
        <w:spacing w:after="0" w:line="120"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In 2025, City of Dreams had an average of approximately 439 gaming tables and approximately 635 gaming machines. Following the closure of Grand Dragon Casino in September 2025 and Mocha Hotel Royal in December 2025, 15 gaming tables and 137 gaming machines were re-allocated to City of Dreams. Morpheus offers approximately 783 rooms, suites and villas. Nüwa, which was under renovation since early 2020 and re-opened at the end of March 2021, offers approximately 286 guest rooms, suites and villas, and the Grand Hyatt Macau hotel offers approximately 763 guest rooms and suites. The Countdown is currently undergoing renovations as part of its rebranding and is expected to be launched in the third quarter of 2026 with approximately 150 high end luxury suites with an average room size in excess of 1,000 square feet. In addition, City of Dreams includes 41 food and beverage outlets, approximately 110 retail outlets, a wet stage performance theater, recreation and leisure facilities, including health and fitness clubs, swimming pools, spas and salons and banquet and meeting facilities. The wet stage performance theater with approximately 2,000 seats features House of Dancing Water, which had been temporarily closed since June 2020 and re-launched in May 2025. The Para nightclub offers approximately 2,232 square meters (equivalent to approximately 24,025 square feet) of live entertainment space. City of Dreams targets premium market and rolling chip patrons from regional markets across Asia.</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the years ended December 31, 2025, 2024 and 2023, operating revenues generated from City of Dreams amounted to</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US$2,736.8 million, US$2,282.3 million and US$1,930.5 million, representing 53.0%, 49.2% and 51.1% of our total operating revenues, respectively.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940"/>
          </w:cols>
          <w:pgMar w:left="320" w:top="472" w:right="6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Studio City</w:t>
      </w:r>
    </w:p>
    <w:p>
      <w:pPr>
        <w:spacing w:after="0" w:line="120"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Studio City is a large-scale cinematically-themed integrated resort located in Cotai, with gaming facilities, luxury hotel offerings and various entertainment, retail and food and beverage outlets to attract a diverse range of customers in Asia, with a focus primarily on the mass market and targeting all ranges of mass market patrons. The SC ADSs are listed on the New York Stock Exchange, and we owned approximately 54.9% of SCI’s total issued and outstanding shares as of March 6, 2026. In 2025, Studio City had an average of approximately 253 gaming tables and 775 gaming machines. Following the closure of Mocha Kuong Fat, Mocha Grand Dragon Hotel and Mocha Hotel Royal in September, November and December 2025, respectively, 198 gaming machines were re-allocated to Studio City. For the years ended December 31, 2025, 2024 and 2023, operating revenues generated from Studio City amounted to US$1,478.4 million, US$1,390.3 million and US$958.4 million, representing 28.6%, 30.0% and 25.4% of our total operating revenues, respectively.</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Altira Macau</w:t>
      </w:r>
    </w:p>
    <w:p>
      <w:pPr>
        <w:spacing w:after="0" w:line="120"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In 2025, Altira Macau had an average of approximately 31 gaming tables and 160 gaming machines operated under the brand Mocha at Altira Macau. In addition, Altira Macau had approximately 216 hotel rooms as of December 31, 2025 and features several fine dining and casual restaurants and recreation and leisure facilities. Altira Macau caters to the premium mass and mass operations. Following the closure of Mocha Grand Dragon Hotel in November 2025, 100 gaming machines were re-allocated to Altira Macau. For the years ended December 31, 2025, 2024 and 2023, operating revenues generated from Altira Macau amounted to US$107.0 million, US$125.1 million and US$110.8 million, representing 2.1%, 2.7% and 2.9% of our total operating revenues, respectively.</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Mocha and Other</w:t>
      </w:r>
    </w:p>
    <w:p>
      <w:pPr>
        <w:spacing w:after="0" w:line="120"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The Mocha and Other segment included the operations of the Grand Dragon Casino before its closure in September 2025. This segment has been renamed to the Mocha segment effective on September 23, 2025.</w:t>
      </w:r>
    </w:p>
    <w:p>
      <w:pPr>
        <w:spacing w:after="0" w:line="147"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In 2025, Mocha Clubs had an average of approximately 810 gaming machines in operation (excluding approximately 160 gaming machines at Altira Macau). Mocha Clubs focus primarily on general mass market patrons, including day-trip customers, outside the conventional casino setting. Grand Dragon Casino had an average of approximately 15 gaming tables in 2025. As part of our development strategy and in accordance with Macau law, Grand Dragon Casino and three of the six Mocha Clubs, namely Mocha Kuong Fat, Mocha Grand Dragon Hotel and Mocha Hotel Royal, ceased operations progressively between September and December 2025. Following these closures, 15 gaming tables and 137 gaming machines were re-allocated to City of Dreams, and 100 gaming machines and 198 gaming machines were re-allocated to Altira Macau and Studio City, respectively. The Chief Executive of Macau has approved the engagement of a wholly-owned management company by Melco Resorts Macau and the respective management agreement in connection with the continuing operations of Mocha Inner Harbour, Mocha Hotel Sintra and Mocha Golden Dragon beyond December 31, 2025, and an amendment agreement to the Concession Contract was signed in February 2026 to reflect that these three Mocha Clubs will continue to be operated under the engagement of such management company effective from January 1, 2026, subject to compliance with all legal and regulatory requirements. For the years ended December 31, 2025, 2024 and 2023, operating revenues generated from Mocha and Other amounted to US$107.1 million, US$122.6 million and US$117.7 million, representing 2.1%, 2.6% and 3.1% of our total operating revenues, respectively.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City of Dreams Manila</w:t>
      </w:r>
    </w:p>
    <w:p>
      <w:pPr>
        <w:spacing w:after="0" w:line="120"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In 2025, City of Dreams Manila had an average of approximately 2,265 gaming machines and 265 gaming tables. City of Dreams Manila also includes three branded hotel towers, several entertainment venues and features a wide selection of regional and international food and beverage offerings as well as extended retail</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940"/>
          </w:cols>
          <w:pgMar w:left="320" w:top="472" w:right="6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shops. For the years ended December 31, 2025, 2024 and 2023, operating revenues generated from City of Dreams Manila amounted to</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US$411.1 million, US$472.3 million and US$495.1 million, representing 8.0%, 10.2% and 13.1% of our total operating revenues, respectively.</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City of Dreams Mediterranean and Other</w:t>
      </w:r>
    </w:p>
    <w:p>
      <w:pPr>
        <w:spacing w:after="0" w:line="120"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Effective from June 12, 2023, with the soft opening of City of Dreams Mediterranean, the Cyprus Operations segment which previously included the operation of the temporary casino before its closure on June 9, 2023 and the licensed satellite casinos in Cyprus, has been renamed to City of Dreams Mediterranean and Other segment which includes the operation of City of Dreams Mediterranean and the licensed satellite casinos in Cyprus. We currently operate and manage City of Dreams Mediterranean in Limassol and three satellite casinos in Nicosia, Ayia Napa and Paphos in Cyprus. In 2025, our facilities in Cyprus had an average of approximately 106 gaming tables and 890 gaming machines. In addition, City of Dreams Mediterranean had approximately 500 guest rooms and suites as of December 31, 2025 and features a variety of premium dining outlets and luxury retail. For the years ended December 31, 2025, 2024 and 2023, operating revenues generated from our operations in Cyprus amounted to US$300.2 million, US$234.6 million and US$159.4 million, representing 5.8%, 5.1% and 4.2% of our total operating revenues, respectively.</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Other Operations</w:t>
      </w:r>
    </w:p>
    <w:p>
      <w:pPr>
        <w:spacing w:after="0" w:line="120"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Effective from August 1, 2025, the initial opening of the Sri Lanka Casino, the operations in Sri Lanka including the provision of management services to Nüwa Sri Lanka effective from its opening on July 15, 2025, which were previously reported under the Corporate and Other category, has been included in the Other Operations segment for the years ended December 31, 2025 and 2024. For the year ended December 31, 2025, operating revenues generated from Other Operations amounted to US$12.5 million, representing 0.2% of our total operating revenues.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Corporate and Other</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Corporate and Other category primarily includes general corporate costs and our development projects in other countries.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Summary of Financial Results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the year ended December 31, 2025, our total operating revenues were US$5.16 billion, an increase of 11.3% from US$4.64 billion for</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year ended December 31, 2024. Net income attributable to Melco Resorts &amp; Entertainment Limited for the year ended December 31, 2025 was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US$185.0 million, as compared to US$43.5 million for the year ended December 31, 2024. The change was primarily attributable to better performance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all gaming and non-gaming operations, partially offset by higher operating costs for the increase in business activities.</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7"/>
        </w:trPr>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436"/>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6"/>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r>
      <w:tr>
        <w:trPr>
          <w:trHeight w:val="137"/>
        </w:trPr>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5,163,299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4,638,213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3,775,247</w:t>
            </w:r>
          </w:p>
        </w:tc>
        <w:tc>
          <w:tcPr>
            <w:tcW w:w="120" w:type="dxa"/>
            <w:vAlign w:val="bottom"/>
            <w:shd w:val="clear" w:color="auto" w:fill="CCEEFF"/>
          </w:tcPr>
          <w:p>
            <w:pPr>
              <w:spacing w:after="0"/>
              <w:rPr>
                <w:sz w:val="18"/>
                <w:szCs w:val="18"/>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(4,562,873)</w:t>
            </w:r>
          </w:p>
        </w:tc>
        <w:tc>
          <w:tcPr>
            <w:tcW w:w="480" w:type="dxa"/>
            <w:vAlign w:val="bottom"/>
          </w:tcPr>
          <w:p>
            <w:pPr>
              <w:spacing w:after="0"/>
              <w:rPr>
                <w:sz w:val="18"/>
                <w:szCs w:val="18"/>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(4,153,586)</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(3,710,288)</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600,426</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484,627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64,959</w:t>
            </w:r>
          </w:p>
        </w:tc>
      </w:tr>
      <w:tr>
        <w:trPr>
          <w:trHeight w:val="227"/>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attributable to Melco Resorts &amp; Entertainment Limited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185,045</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43,543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(326,920)</w:t>
            </w:r>
          </w:p>
        </w:tc>
      </w:tr>
      <w:tr>
        <w:trPr>
          <w:trHeight w:val="334"/>
        </w:trPr>
        <w:tc>
          <w:tcPr>
            <w:tcW w:w="6080" w:type="dxa"/>
            <w:vAlign w:val="bottom"/>
          </w:tcPr>
          <w:p>
            <w:pPr>
              <w:ind w:left="4780"/>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40"/>
          </w:cols>
          <w:pgMar w:left="320" w:top="472" w:right="6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Key events which occurred during the years ended December 31, 2025, 2024 and 2023 are summarized below. Therefore, our results of operations and financial position for the years presented may not be fully comparable.</w:t>
      </w:r>
    </w:p>
    <w:p>
      <w:pPr>
        <w:spacing w:after="0" w:line="55" w:lineRule="exact"/>
        <w:rPr>
          <w:sz w:val="20"/>
          <w:szCs w:val="20"/>
          <w:color w:val="auto"/>
        </w:rPr>
      </w:pPr>
    </w:p>
    <w:p>
      <w:pPr>
        <w:ind w:left="1240" w:right="20" w:hanging="530"/>
        <w:spacing w:after="0" w:line="269"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 2023, we recognized an intangible asset and financial liability of US$239.6 million, representing the right to use and operate the gaming and gaming support areas comprising the Altira Casino, City of Dreams Casino and Studio City Casino, and related gaming equipment and utensils, the right to conduct games of fortunes and chance in Macau and the unconditional obligation to make payments under the Concession Contract.</w:t>
      </w:r>
    </w:p>
    <w:p>
      <w:pPr>
        <w:spacing w:after="0" w:line="77" w:lineRule="exact"/>
        <w:rPr>
          <w:rFonts w:ascii="Times New Roman" w:cs="Times New Roman" w:eastAsia="Times New Roman" w:hAnsi="Times New Roman"/>
          <w:sz w:val="17"/>
          <w:szCs w:val="17"/>
          <w:color w:val="auto"/>
        </w:rPr>
      </w:pPr>
    </w:p>
    <w:p>
      <w:pPr>
        <w:ind w:left="1240" w:right="660" w:hanging="530"/>
        <w:spacing w:after="0" w:line="295"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we repurchased 40,373,076 ordinary shares from Melco Leisure for an aggregate purchase price of approximately US$169.8 million.</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6, 2023, we opened an indoor water park and the Epic Tower, at Studio City Phase 2.</w:t>
      </w:r>
    </w:p>
    <w:p>
      <w:pPr>
        <w:spacing w:after="0" w:line="131" w:lineRule="exact"/>
        <w:rPr>
          <w:rFonts w:ascii="Times New Roman" w:cs="Times New Roman" w:eastAsia="Times New Roman" w:hAnsi="Times New Roman"/>
          <w:sz w:val="17"/>
          <w:szCs w:val="17"/>
          <w:color w:val="auto"/>
        </w:rPr>
      </w:pPr>
    </w:p>
    <w:p>
      <w:pPr>
        <w:ind w:left="1240" w:right="80" w:hanging="530"/>
        <w:spacing w:after="0" w:line="276"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28, 2023, we recognized an intangible asset of US$73.9 million and financial liability of US$73.1 million representing the right under the Cyprus License and the unconditional obligation to pay a minimum annual license fee for City of Dreams Mediterranean and an aggregate annual license fee for three operating satellite casinos during the term of the Cyprus License from June 28, 2023.</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10, 2023, City of Dreams Mediterranean officially opened to the public, after a soft opening in June.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8, 2023, we opened W Macau at Studio City Phase 2.</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28, 2023, Studio City Finance settled the 2025 SCF Senior Notes Tender Offer (2023) for the aggregate principal amount of US$100.0 million of the 2025 SCF Senior Notes.</w:t>
      </w:r>
    </w:p>
    <w:p>
      <w:pPr>
        <w:spacing w:after="0" w:line="55" w:lineRule="exact"/>
        <w:rPr>
          <w:rFonts w:ascii="Times New Roman" w:cs="Times New Roman" w:eastAsia="Times New Roman" w:hAnsi="Times New Roman"/>
          <w:sz w:val="17"/>
          <w:szCs w:val="17"/>
          <w:color w:val="auto"/>
        </w:rPr>
      </w:pPr>
    </w:p>
    <w:p>
      <w:pPr>
        <w:ind w:left="1240" w:right="200" w:hanging="530"/>
        <w:spacing w:after="0" w:line="295"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MCO Nominee One repaid US$820.0 million and HK$206.0 million (equivalent to US$29.6 million) in aggregate principal amount on a net basis along with accrued interest under the MN1 2020 Revolving Facilities.</w:t>
      </w:r>
    </w:p>
    <w:p>
      <w:pPr>
        <w:spacing w:after="0" w:line="55" w:lineRule="exact"/>
        <w:rPr>
          <w:rFonts w:ascii="Times New Roman" w:cs="Times New Roman" w:eastAsia="Times New Roman" w:hAnsi="Times New Roman"/>
          <w:sz w:val="17"/>
          <w:szCs w:val="17"/>
          <w:color w:val="auto"/>
        </w:rPr>
      </w:pPr>
    </w:p>
    <w:p>
      <w:pPr>
        <w:ind w:left="1240" w:hanging="530"/>
        <w:spacing w:after="0" w:line="262"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27, 2024, the Sri Lanka Ministry of Finance, Economic Stabilization &amp; National Policies granted the Sri Lanka License to our subsidiary, Bluehaven Services to operate a casino business for a term of 20 years effective from April 1, 2024 in an integrated resort under development at that time by Waterfront Properties, a subsidiary of John Keells, an independent third party, in Colombo, Sri Lanka which has been rebranded as City of Dreams Sri Lanka. On July 10, 2024, Bluehaven Services and Waterfront Properties entered into a casino lease agreement under which Waterfront Properties agreed to lease to Bluehaven Services an area within the integrated resort under development at that time by Waterfront Properties together with the common area rights as defined in the casino lease agreement, for the purpose of establishing, developing and operating the Sri Lanka Casino. Upon the signing of the casino lease agreement, the Company recognized an intangible asset of LKR5 billion (equivalent to US$16.1 million), representing the casino license fee.</w:t>
      </w:r>
    </w:p>
    <w:p>
      <w:pPr>
        <w:spacing w:after="0" w:line="8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8, 2024, the maturity date of the MN1 2020 Revolving Facilities was extended by two years to April 29, 2027.</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17, 2024, Melco Resorts Finance issued US$750.0 million in aggregate principal amount of the 2032 MRF Senior Notes.</w:t>
      </w:r>
    </w:p>
    <w:p>
      <w:pPr>
        <w:spacing w:after="0" w:line="131"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24, 2024, Studio City Finance settled the 2025 SCF Senior Notes Tender Offer (2024) for the aggregate principal amount of US$100.0 million of the 2025 SCF Senior Notes.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6, 2024, the maturity date of the MRM 2015 Credit Facilities was extended by two years to June 24, 2026.</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26, 2024, we opened a cinema in Studio City.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29, 2024, Studio City Company entered into the SCC 2024 Revolving Facilities.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940"/>
          </w:cols>
          <w:pgMar w:left="320" w:top="472" w:right="6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4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29, 2024, Studio City Company entered into an amendment and restatement agreement to amend the terms of the SCC 2021 Credit Facilities including the extension of the maturity date from January 15, 2028 to August 29, 2029 and change of interest rates.</w:t>
      </w:r>
    </w:p>
    <w:p>
      <w:pPr>
        <w:spacing w:after="0" w:line="55" w:lineRule="exact"/>
        <w:rPr>
          <w:rFonts w:ascii="Times New Roman" w:cs="Times New Roman" w:eastAsia="Times New Roman" w:hAnsi="Times New Roman"/>
          <w:sz w:val="17"/>
          <w:szCs w:val="17"/>
          <w:color w:val="auto"/>
        </w:rPr>
      </w:pPr>
    </w:p>
    <w:p>
      <w:pPr>
        <w:ind w:left="1240" w:right="34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MCO Nominee One repaid HK$6.99 billion (equivalent to US$893.9 million) in aggregate principal amount on a net basis along with accrued interest under the MN1 2020 Revolving Facilities.</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Studio City Finance repurchased an aggregate principal amount of US$75.3 million of the 2025 SCF Senior Notes.</w:t>
      </w:r>
    </w:p>
    <w:p>
      <w:pPr>
        <w:spacing w:after="0" w:line="55"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we repurchased 20,712,895 ADSs (equivalent to 62,138,685 ordinary shares) for the aggregate purchase price of US$112.3 million, and 53,138,685 repurchased ordinary shares were subsequently cancelled by us.</w:t>
      </w:r>
    </w:p>
    <w:p>
      <w:pPr>
        <w:spacing w:after="0" w:line="55" w:lineRule="exact"/>
        <w:rPr>
          <w:rFonts w:ascii="Times New Roman" w:cs="Times New Roman" w:eastAsia="Times New Roman" w:hAnsi="Times New Roman"/>
          <w:sz w:val="17"/>
          <w:szCs w:val="17"/>
          <w:color w:val="auto"/>
        </w:rPr>
      </w:pPr>
    </w:p>
    <w:p>
      <w:pPr>
        <w:ind w:left="1240" w:right="20" w:hanging="530"/>
        <w:spacing w:after="0" w:line="269"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25, 2025, pursuant to the MN1 2024 Amendment and Restatement under the MN1 2020 Revolving Facilities, an incremental facility of HK$387.5 million (equivalent to US$49.8 million) was established to increase the available commitments under the MN1 2020 Revolving Facilities from HK$14.85 billion (equivalent to US$1.91 billion) to HK$15.24 billion (equivalent to US$1.96 billion), subject to satisfaction of certain conditions precedent.</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2025, we relaunched House of Dancing Water.</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6, 2025, Melco Resorts Finance redeemed the aggregate principal amount outstanding of US$1.00 billion of the 2025 MRF Senior Notes.</w:t>
      </w:r>
    </w:p>
    <w:p>
      <w:pPr>
        <w:spacing w:after="0" w:line="55"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2025, MCO Nominee One entered into interest rate swap arrangements with aggregate notional amount of HK$5.88 billion (equivalent to US$755.7 million) to manage interest rate risk on the loans drawn under the MN1 2020 Revolving Facilities.</w:t>
      </w:r>
    </w:p>
    <w:p>
      <w:pPr>
        <w:spacing w:after="0" w:line="55"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15, 2025, Studio City Finance redeemed the aggregate principal amount outstanding of US$221.6 million of the 2025 SCF Senior Notes.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 2025, we had an initial opening of the Sri Lanka Casino.</w:t>
      </w:r>
    </w:p>
    <w:p>
      <w:pPr>
        <w:spacing w:after="0" w:line="131" w:lineRule="exact"/>
        <w:rPr>
          <w:rFonts w:ascii="Times New Roman" w:cs="Times New Roman" w:eastAsia="Times New Roman" w:hAnsi="Times New Roman"/>
          <w:sz w:val="17"/>
          <w:szCs w:val="17"/>
          <w:color w:val="auto"/>
        </w:rPr>
      </w:pPr>
    </w:p>
    <w:p>
      <w:pPr>
        <w:ind w:left="1240" w:right="40" w:hanging="530"/>
        <w:spacing w:after="0" w:line="268"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24, 2025, Melco Resorts Finance issued US$500.0 million in aggregate principal amount of the 2033 MRF Senior Notes and settled the 2026 MRF Senior Notes Tender Offer for an aggregate principal amount outstanding of US$142.1 million of the 2026 MRF Senior Notes. In September 2025, we also entered into cross-currency swap agreements with an aggregate notional amount of US$500.0 million to manage foreign currency exchange risk associated with the outstanding U.S. dollar denominated 2023 MRF Senior Notes.</w:t>
      </w:r>
    </w:p>
    <w:p>
      <w:pPr>
        <w:spacing w:after="0" w:line="289" w:lineRule="exact"/>
        <w:rPr>
          <w:rFonts w:ascii="Times New Roman" w:cs="Times New Roman" w:eastAsia="Times New Roman" w:hAnsi="Times New Roman"/>
          <w:sz w:val="17"/>
          <w:szCs w:val="17"/>
          <w:color w:val="auto"/>
        </w:rPr>
      </w:pPr>
    </w:p>
    <w:p>
      <w:pPr>
        <w:ind w:left="1240" w:right="72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25, 2025, the remaining aggregate principal amount outstanding of US$357.9 million of the 2026 MRF Senior Notes following the completion of the 2026 MRF Senior Notes Tender Offer was redeemed.</w:t>
      </w:r>
    </w:p>
    <w:p>
      <w:pPr>
        <w:spacing w:after="0" w:line="55"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September and December 2025, Grand Dragon Casino and three of the six Mocha Clubs, namely Mocha Kuong Fat, Mocha Grand Dragon Hotel and Mocha Hotel Royal, ceased operations. Following the closures, 15 gaming tables and 435 gaming machines were re-allocated to the Company’s other gaming areas in Macau.</w:t>
      </w:r>
    </w:p>
    <w:p>
      <w:pPr>
        <w:spacing w:after="0" w:line="70" w:lineRule="exact"/>
        <w:rPr>
          <w:rFonts w:ascii="Times New Roman" w:cs="Times New Roman" w:eastAsia="Times New Roman" w:hAnsi="Times New Roman"/>
          <w:sz w:val="17"/>
          <w:szCs w:val="17"/>
          <w:color w:val="auto"/>
        </w:rPr>
      </w:pPr>
    </w:p>
    <w:p>
      <w:pPr>
        <w:ind w:left="1240" w:right="720" w:hanging="530"/>
        <w:spacing w:after="0" w:line="295"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MCO Nominee One drew down HK$5.67 billion (equivalent to US$719.9 million) in aggregate principal amount on a net basis under the MN1 2020 Revolving Facilities.</w:t>
      </w:r>
    </w:p>
    <w:p>
      <w:pPr>
        <w:spacing w:after="0" w:line="55" w:lineRule="exact"/>
        <w:rPr>
          <w:rFonts w:ascii="Times New Roman" w:cs="Times New Roman" w:eastAsia="Times New Roman" w:hAnsi="Times New Roman"/>
          <w:sz w:val="17"/>
          <w:szCs w:val="17"/>
          <w:color w:val="auto"/>
        </w:rPr>
      </w:pPr>
    </w:p>
    <w:p>
      <w:pPr>
        <w:ind w:left="1240" w:right="140" w:hanging="530"/>
        <w:spacing w:after="0" w:line="276"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Studio City Company drew down HK$233.0 million (equivalent to US$29.7 million) and HK$389.0 million (equivalent to US$48.8 million) in aggregate principal amount on a net basis under the SCC 2021 Credit Facilities and the SCC 2024 Revolving Facilities, respectively.</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960"/>
          </w:cols>
          <w:pgMar w:left="320" w:top="472" w:right="6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80" w:hanging="530"/>
        <w:spacing w:after="0" w:line="295"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we repurchased 32,345,223 ADSs (equivalent to 97,035,669 ordinary shares) for the aggregate purchase price of US$166.0 million, of which no ordinary shares repurchased were retired.</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Key Performance Indicators (KPIs)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use the following KPIs to evaluate our casino operations, including table games and gaming machines:</w:t>
      </w:r>
    </w:p>
    <w:p>
      <w:pPr>
        <w:spacing w:after="0" w:line="129" w:lineRule="exact"/>
        <w:rPr>
          <w:sz w:val="20"/>
          <w:szCs w:val="20"/>
          <w:color w:val="auto"/>
        </w:rPr>
      </w:pPr>
    </w:p>
    <w:p>
      <w:pPr>
        <w:ind w:left="1240" w:hanging="530"/>
        <w:spacing w:after="0"/>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Rolling chip volume: </w:t>
      </w:r>
      <w:r>
        <w:rPr>
          <w:rFonts w:ascii="Times New Roman" w:cs="Times New Roman" w:eastAsia="Times New Roman" w:hAnsi="Times New Roman"/>
          <w:sz w:val="17"/>
          <w:szCs w:val="17"/>
          <w:color w:val="auto"/>
        </w:rPr>
        <w:t>the amount of non-negotiable chips net buy in plus the amount of cash chips converted to non-negotiable chips.</w:t>
      </w:r>
    </w:p>
    <w:p>
      <w:pPr>
        <w:spacing w:after="0" w:line="131" w:lineRule="exact"/>
        <w:rPr>
          <w:rFonts w:ascii="Times New Roman" w:cs="Times New Roman" w:eastAsia="Times New Roman" w:hAnsi="Times New Roman"/>
          <w:sz w:val="17"/>
          <w:szCs w:val="17"/>
          <w:color w:val="auto"/>
        </w:rPr>
      </w:pPr>
    </w:p>
    <w:p>
      <w:pPr>
        <w:jc w:val="both"/>
        <w:ind w:left="1240" w:right="440" w:hanging="530"/>
        <w:spacing w:after="0" w:line="298"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Rolling chip win rate: </w:t>
      </w:r>
      <w:r>
        <w:rPr>
          <w:rFonts w:ascii="Times New Roman" w:cs="Times New Roman" w:eastAsia="Times New Roman" w:hAnsi="Times New Roman"/>
          <w:sz w:val="17"/>
          <w:szCs w:val="17"/>
          <w:color w:val="auto"/>
        </w:rPr>
        <w:t>rolling chip table games win (calculated before discounts, commissions, other incentives and allocating casino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 related to goods and services provided to gaming patrons on a complimentary basis) as a percentage of rolling chip volume.</w:t>
      </w:r>
    </w:p>
    <w:p>
      <w:pPr>
        <w:spacing w:after="0" w:line="5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Mass market table games drop: </w:t>
      </w:r>
      <w:r>
        <w:rPr>
          <w:rFonts w:ascii="Times New Roman" w:cs="Times New Roman" w:eastAsia="Times New Roman" w:hAnsi="Times New Roman"/>
          <w:sz w:val="17"/>
          <w:szCs w:val="17"/>
          <w:color w:val="auto"/>
        </w:rPr>
        <w:t>the amount wagered in the mass market table games operation.</w:t>
      </w:r>
    </w:p>
    <w:p>
      <w:pPr>
        <w:spacing w:after="0" w:line="131" w:lineRule="exact"/>
        <w:rPr>
          <w:rFonts w:ascii="Times New Roman" w:cs="Times New Roman" w:eastAsia="Times New Roman" w:hAnsi="Times New Roman"/>
          <w:sz w:val="17"/>
          <w:szCs w:val="17"/>
          <w:color w:val="auto"/>
        </w:rPr>
      </w:pPr>
    </w:p>
    <w:p>
      <w:pPr>
        <w:ind w:left="1240" w:right="160" w:hanging="530"/>
        <w:spacing w:after="0" w:line="277"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Mass market table games hold percentage: </w:t>
      </w:r>
      <w:r>
        <w:rPr>
          <w:rFonts w:ascii="Times New Roman" w:cs="Times New Roman" w:eastAsia="Times New Roman" w:hAnsi="Times New Roman"/>
          <w:sz w:val="17"/>
          <w:szCs w:val="17"/>
          <w:color w:val="auto"/>
        </w:rPr>
        <w:t>mass market table games win (calculated before discounts, commissions, other incentives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allocating casino revenues related to goods and services provided to gaming patrons on a complimentary basis) as a percentage of mass market table games drop.</w:t>
      </w:r>
    </w:p>
    <w:p>
      <w:pPr>
        <w:spacing w:after="0" w:line="68" w:lineRule="exact"/>
        <w:rPr>
          <w:rFonts w:ascii="Times New Roman" w:cs="Times New Roman" w:eastAsia="Times New Roman" w:hAnsi="Times New Roman"/>
          <w:sz w:val="17"/>
          <w:szCs w:val="17"/>
          <w:color w:val="auto"/>
        </w:rPr>
      </w:pPr>
    </w:p>
    <w:p>
      <w:pPr>
        <w:ind w:left="1240" w:right="280" w:hanging="530"/>
        <w:spacing w:after="0" w:line="277"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Table games win: </w:t>
      </w:r>
      <w:r>
        <w:rPr>
          <w:rFonts w:ascii="Times New Roman" w:cs="Times New Roman" w:eastAsia="Times New Roman" w:hAnsi="Times New Roman"/>
          <w:sz w:val="17"/>
          <w:szCs w:val="17"/>
          <w:color w:val="auto"/>
        </w:rPr>
        <w:t>the amount of wagers won net of wagers lost on gaming tables that is retained and recorded as casino revenues. 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games win is calculated before discounts, commissions, other incentives and allocating casino revenues related to goods and services provided to gaming patrons on a complimentary basis.</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Gaming machine handle: </w:t>
      </w:r>
      <w:r>
        <w:rPr>
          <w:rFonts w:ascii="Times New Roman" w:cs="Times New Roman" w:eastAsia="Times New Roman" w:hAnsi="Times New Roman"/>
          <w:sz w:val="17"/>
          <w:szCs w:val="17"/>
          <w:color w:val="auto"/>
        </w:rPr>
        <w:t>the total amount wagered in gaming machines.</w:t>
      </w:r>
    </w:p>
    <w:p>
      <w:pPr>
        <w:spacing w:after="0" w:line="131" w:lineRule="exact"/>
        <w:rPr>
          <w:rFonts w:ascii="Times New Roman" w:cs="Times New Roman" w:eastAsia="Times New Roman" w:hAnsi="Times New Roman"/>
          <w:sz w:val="17"/>
          <w:szCs w:val="17"/>
          <w:color w:val="auto"/>
        </w:rPr>
      </w:pPr>
    </w:p>
    <w:p>
      <w:pPr>
        <w:ind w:left="1240" w:right="280" w:hanging="530"/>
        <w:spacing w:after="0" w:line="298"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Gaming machine win rate: </w:t>
      </w:r>
      <w:r>
        <w:rPr>
          <w:rFonts w:ascii="Times New Roman" w:cs="Times New Roman" w:eastAsia="Times New Roman" w:hAnsi="Times New Roman"/>
          <w:sz w:val="17"/>
          <w:szCs w:val="17"/>
          <w:color w:val="auto"/>
        </w:rPr>
        <w:t>gaming machine win (calculated before other incentives and allocating casino revenues related to goods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provided to gaming patrons on a complimentary basis) expressed as a percentage of gaming machine handle.</w:t>
      </w:r>
    </w:p>
    <w:p>
      <w:pPr>
        <w:spacing w:after="0" w:line="144"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rolling chip market operations,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of non-negotiable chips net buy in plus the amount of cash chips converted into non-negotiable chips.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operations than the hold percentage in the mass market table games operations.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combined expected rolling chip win rate across our properties is in the range of 2.85% to 3.15%.</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use the following KPIs to evaluate our hotel operations:</w:t>
      </w:r>
    </w:p>
    <w:p>
      <w:pPr>
        <w:spacing w:after="0" w:line="129" w:lineRule="exact"/>
        <w:rPr>
          <w:sz w:val="20"/>
          <w:szCs w:val="20"/>
          <w:color w:val="auto"/>
        </w:rPr>
      </w:pPr>
    </w:p>
    <w:p>
      <w:pPr>
        <w:ind w:left="1240" w:right="20" w:hanging="530"/>
        <w:spacing w:after="0" w:line="298"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daily rate: </w:t>
      </w:r>
      <w:r>
        <w:rPr>
          <w:rFonts w:ascii="Times New Roman" w:cs="Times New Roman" w:eastAsia="Times New Roman" w:hAnsi="Times New Roman"/>
          <w:sz w:val="17"/>
          <w:szCs w:val="17"/>
          <w:color w:val="auto"/>
        </w:rPr>
        <w:t>calculated by dividing total room revenues including complimentary rooms (less service charges, if any) by total rooms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occupied, including complimentary rooms, i.e., average price of occupied rooms per day.</w:t>
      </w:r>
    </w:p>
    <w:p>
      <w:pPr>
        <w:spacing w:after="0" w:line="5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Occupancy rate: </w:t>
      </w: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1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960"/>
          </w:cols>
          <w:pgMar w:left="320" w:top="472" w:right="6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1240" w:right="600" w:hanging="530"/>
        <w:spacing w:after="0" w:line="298" w:lineRule="auto"/>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44"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65" w:lineRule="exact"/>
        <w:rPr>
          <w:sz w:val="20"/>
          <w:szCs w:val="20"/>
          <w:color w:val="auto"/>
        </w:rPr>
      </w:pPr>
    </w:p>
    <w:p>
      <w:pPr>
        <w:ind w:left="300" w:right="4960"/>
        <w:spacing w:after="0" w:line="386" w:lineRule="auto"/>
        <w:rPr>
          <w:sz w:val="20"/>
          <w:szCs w:val="20"/>
          <w:color w:val="auto"/>
        </w:rPr>
      </w:pPr>
      <w:r>
        <w:rPr>
          <w:rFonts w:ascii="Times New Roman" w:cs="Times New Roman" w:eastAsia="Times New Roman" w:hAnsi="Times New Roman"/>
          <w:sz w:val="17"/>
          <w:szCs w:val="17"/>
          <w:b w:val="1"/>
          <w:bCs w:val="1"/>
          <w:color w:val="auto"/>
        </w:rPr>
        <w:t xml:space="preserve">Year Ended December 31, 2025 Compared to Year Ended December 31, 2024 </w:t>
      </w:r>
      <w:r>
        <w:rPr>
          <w:rFonts w:ascii="Times New Roman" w:cs="Times New Roman" w:eastAsia="Times New Roman" w:hAnsi="Times New Roman"/>
          <w:sz w:val="17"/>
          <w:szCs w:val="17"/>
          <w:b w:val="1"/>
          <w:bCs w:val="1"/>
          <w:i w:val="1"/>
          <w:iCs w:val="1"/>
          <w:color w:val="auto"/>
        </w:rPr>
        <w:t>Revenues</w:t>
      </w: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Our total operating revenues for the year ended December 31, 2025 were US$5.16 billion, an increase of US$525.1 million, or 11.3%, from US$4.64 billion for the year ended December 31, 2024. The increase in total operating revenues was primarily attributable to an overall improved performance in all gaming and non-gaming operations, led by the continued recovery in inbound tourism to Macau in 2025.</w:t>
      </w:r>
    </w:p>
    <w:p>
      <w:pPr>
        <w:spacing w:after="0" w:line="162"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Our total operating revenues for the year ended December 31, 2025 consisted of US$4.25 billion of casino revenues, representing 82.3% of our total operating revenues, and US$916.3 million of non-casino revenues. Our total operating revenues for the year ended December 31, 2024 consisted of US$3.77 billion of casino revenues, representing 81.3% of our total operating revenues, and US$865.6 million of non-casino revenues.</w:t>
      </w:r>
    </w:p>
    <w:p>
      <w:pPr>
        <w:spacing w:after="0" w:line="160" w:lineRule="exact"/>
        <w:rPr>
          <w:sz w:val="20"/>
          <w:szCs w:val="20"/>
          <w:color w:val="auto"/>
        </w:rPr>
      </w:pPr>
    </w:p>
    <w:p>
      <w:pPr>
        <w:jc w:val="both"/>
        <w:ind w:left="300" w:right="52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Casino</w:t>
      </w:r>
      <w:r>
        <w:rPr>
          <w:rFonts w:ascii="Times New Roman" w:cs="Times New Roman" w:eastAsia="Times New Roman" w:hAnsi="Times New Roman"/>
          <w:sz w:val="17"/>
          <w:szCs w:val="17"/>
          <w:color w:val="auto"/>
        </w:rPr>
        <w:t>. Casino revenues for the year ended December 31, 2025 were US$4.25 billion, representing a US$474.4 million, or 12.6%,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from casino revenues of US$3.77 billion for the year ended December 31, 2024, primarily due to an overall improved performance in all gaming operations.</w:t>
      </w:r>
    </w:p>
    <w:p>
      <w:pPr>
        <w:spacing w:after="0" w:line="160"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City of Dreams. </w:t>
      </w:r>
      <w:r>
        <w:rPr>
          <w:rFonts w:ascii="Times New Roman" w:cs="Times New Roman" w:eastAsia="Times New Roman" w:hAnsi="Times New Roman"/>
          <w:sz w:val="17"/>
          <w:szCs w:val="17"/>
          <w:color w:val="auto"/>
        </w:rPr>
        <w:t>City of Dreams’ rolling chip volume for the year ended December 31, 2025 of US$23.40 billion represented an increase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US$3.34 billion, or 16.7%, from US$20.06 billion for the year ended December 31, 2024. The rolling chip win rate was 3.62% for the year ended December 31, 2025, which increased from 2.74% for the year ended December 31, 2024. Our expected range was 2.85% to 3.15%. Mass market table games drop was US$6.74 billion for the year ended December 31, 2025, which represented an increase of US$0.87 billion, or 14.8%, from</w:t>
      </w:r>
    </w:p>
    <w:p>
      <w:pPr>
        <w:spacing w:after="0" w:line="3" w:lineRule="exact"/>
        <w:rPr>
          <w:sz w:val="20"/>
          <w:szCs w:val="20"/>
          <w:color w:val="auto"/>
        </w:rPr>
      </w:pPr>
    </w:p>
    <w:p>
      <w:pPr>
        <w:jc w:val="both"/>
        <w:ind w:left="300" w:right="400"/>
        <w:spacing w:after="0" w:line="265" w:lineRule="auto"/>
        <w:rPr>
          <w:sz w:val="20"/>
          <w:szCs w:val="20"/>
          <w:color w:val="auto"/>
        </w:rPr>
      </w:pPr>
      <w:r>
        <w:rPr>
          <w:rFonts w:ascii="Times New Roman" w:cs="Times New Roman" w:eastAsia="Times New Roman" w:hAnsi="Times New Roman"/>
          <w:sz w:val="17"/>
          <w:szCs w:val="17"/>
          <w:color w:val="auto"/>
        </w:rPr>
        <w:t>US$5.87 billion for the year ended December 31, 2024. The mass market table games hold percentage was 30.4% for the year ended December 31, 2025, decreasing from 32.1% for the year ended December 31, 2024. Average net win per gaming machine per day was US$496 for the year ended December 31, 2025, a decrease of US$29, or 5.5%, from US$524 for the year ended December 31, 2024.</w:t>
      </w:r>
    </w:p>
    <w:p>
      <w:pPr>
        <w:spacing w:after="0" w:line="169" w:lineRule="exact"/>
        <w:rPr>
          <w:sz w:val="20"/>
          <w:szCs w:val="20"/>
          <w:color w:val="auto"/>
        </w:rPr>
      </w:pPr>
    </w:p>
    <w:p>
      <w:pPr>
        <w:ind w:left="300" w:right="20" w:firstLine="9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Studio City. </w:t>
      </w:r>
      <w:r>
        <w:rPr>
          <w:rFonts w:ascii="Times New Roman" w:cs="Times New Roman" w:eastAsia="Times New Roman" w:hAnsi="Times New Roman"/>
          <w:sz w:val="17"/>
          <w:szCs w:val="17"/>
          <w:color w:val="auto"/>
        </w:rPr>
        <w:t>Studio City did not have VIP rolling chip operations in 2025. Studio City’s VIP rolling chip volume was US$2.00 billion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VIP rolling chip win rate was 3.85% in 2024. Mass market table games drop was US$3.76 billion for the year ended December 31, 2025, an increase from US$3.68 billion for the year ended December 31, 2024. The mass market table games hold percentage was 33.4% for the year ended December 31, 2025, representing an increase from 30.6% for the year ended December 31, 2024. Average net win per gaming machine per day was US$451 for the year ended December 31, 2025, an increase of US$20, or 4.7%, from US$431 for the year ended December 31, 2024.</w:t>
      </w:r>
    </w:p>
    <w:p>
      <w:pPr>
        <w:spacing w:after="0" w:line="167" w:lineRule="exact"/>
        <w:rPr>
          <w:sz w:val="20"/>
          <w:szCs w:val="20"/>
          <w:color w:val="auto"/>
        </w:rPr>
      </w:pPr>
    </w:p>
    <w:p>
      <w:pPr>
        <w:ind w:left="300" w:right="2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Altira Macau. </w:t>
      </w:r>
      <w:r>
        <w:rPr>
          <w:rFonts w:ascii="Times New Roman" w:cs="Times New Roman" w:eastAsia="Times New Roman" w:hAnsi="Times New Roman"/>
          <w:sz w:val="17"/>
          <w:szCs w:val="17"/>
          <w:color w:val="auto"/>
        </w:rPr>
        <w:t>Mass market table games drop was US$493.6 million for the year ended December 31, 2025, representing a decrease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7.9% from US$535.8 million for the year ended December 31, 2024. The mass market table games hold percentage was 19.3% for the year ended December 31, 2025, decreasing from 22.4% for the year ended December 31, 2024. Average net win per gaming machine per day was US$261 for the year ended December 31, 2025, an increase of US$6, or 2.3%, from US$255 for the year ended December 31, 2024.</w:t>
      </w:r>
    </w:p>
    <w:p>
      <w:pPr>
        <w:spacing w:after="0" w:line="166" w:lineRule="exact"/>
        <w:rPr>
          <w:sz w:val="20"/>
          <w:szCs w:val="20"/>
          <w:color w:val="auto"/>
        </w:rPr>
      </w:pPr>
    </w:p>
    <w:p>
      <w:pPr>
        <w:ind w:left="300" w:right="10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Mocha and Other</w:t>
      </w:r>
      <w:r>
        <w:rPr>
          <w:rFonts w:ascii="Times New Roman" w:cs="Times New Roman" w:eastAsia="Times New Roman" w:hAnsi="Times New Roman"/>
          <w:sz w:val="17"/>
          <w:szCs w:val="17"/>
          <w:color w:val="auto"/>
        </w:rPr>
        <w:t>. As part of the Company’s development strategy and in accordance with Macau law, Grand Dragon Casino and three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Mocha Clubs, namely Mocha Kuong Fat, Mocha Grand Dragon Hotel</w:t>
      </w:r>
    </w:p>
    <w:p>
      <w:pPr>
        <w:spacing w:after="0" w:line="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0960"/>
          </w:cols>
          <w:pgMar w:left="320" w:top="472" w:right="6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spacing w:after="0" w:line="264" w:lineRule="auto"/>
        <w:rPr>
          <w:sz w:val="20"/>
          <w:szCs w:val="20"/>
          <w:color w:val="auto"/>
        </w:rPr>
      </w:pPr>
      <w:r>
        <w:rPr>
          <w:rFonts w:ascii="Times New Roman" w:cs="Times New Roman" w:eastAsia="Times New Roman" w:hAnsi="Times New Roman"/>
          <w:sz w:val="17"/>
          <w:szCs w:val="17"/>
          <w:color w:val="auto"/>
        </w:rPr>
        <w:t>and Mocha Hotel Royal, ceased operations during the period from September to December 2025. Following the closures, 15 gaming tables and 435 gaming machines were re-allocated to the Company’s other gaming areas in Macau. Mass market table games drop was US$155.1 million for the year ended December 31, 2025, a decrease from US$231.6 million for the year ended December 31, 2024 primarily due to the closure of Grand Dragon Casino in September 2025. The mass market table games hold percentage was 17.0% for the year ended December 31, 2025, increasing from 16.8% for the year ended December 31, 2024. Average net win per gaming machine per day for the year ended December 31, 2025 was US$283, an increase of US$9, or 3.2%, from US$274 for the year ended December 31, 2024.</w:t>
      </w:r>
    </w:p>
    <w:p>
      <w:pPr>
        <w:spacing w:after="0" w:line="171" w:lineRule="exact"/>
        <w:rPr>
          <w:sz w:val="20"/>
          <w:szCs w:val="20"/>
          <w:color w:val="auto"/>
        </w:rPr>
      </w:pPr>
    </w:p>
    <w:p>
      <w:pPr>
        <w:ind w:left="300" w:right="400" w:firstLine="9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City of Dreams Manila. </w:t>
      </w:r>
      <w:r>
        <w:rPr>
          <w:rFonts w:ascii="Times New Roman" w:cs="Times New Roman" w:eastAsia="Times New Roman" w:hAnsi="Times New Roman"/>
          <w:sz w:val="17"/>
          <w:szCs w:val="17"/>
          <w:color w:val="auto"/>
        </w:rPr>
        <w:t>City of Dreams Manila’s rolling chip volume for the year ended December 31, 2025 was US$2.03 billion,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representing a decrease of US$453.5 million, or 18.2%, from US$2.49 billion for the year ended December 31, 2024. The rolling chip win rate was</w:t>
      </w:r>
    </w:p>
    <w:p>
      <w:pPr>
        <w:ind w:left="300" w:right="120"/>
        <w:spacing w:after="0" w:line="260" w:lineRule="auto"/>
        <w:rPr>
          <w:sz w:val="20"/>
          <w:szCs w:val="20"/>
          <w:color w:val="auto"/>
        </w:rPr>
      </w:pPr>
      <w:r>
        <w:rPr>
          <w:rFonts w:ascii="Times New Roman" w:cs="Times New Roman" w:eastAsia="Times New Roman" w:hAnsi="Times New Roman"/>
          <w:sz w:val="17"/>
          <w:szCs w:val="17"/>
          <w:color w:val="auto"/>
        </w:rPr>
        <w:t>3.37% for the year ended December 31, 2025, a decrease from 3.57% for the year ended December 31, 2024. Our expected range was 2.85% to 3.15%. Mass market table games drop was US$566.4 million for the year ended December 31, 2025, representing a decrease of US$129.4 million, or 18.6%, from US$695.8 million for the year ended December 31, 2024. The mass market table games hold percentage was 34.0% for the year ended December 31, 2025, representing an increase from 32.8% for the year ended December 31, 2024. Average net win per gaming machine per day was US$235 for the year ended December 31, 2025, a decrease of US$27, or 10.5%, from US$263 for the year ended December 31, 2024.</w:t>
      </w:r>
    </w:p>
    <w:p>
      <w:pPr>
        <w:spacing w:after="0" w:line="176"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City of Dreams Mediterranean and Other. </w:t>
      </w:r>
      <w:r>
        <w:rPr>
          <w:rFonts w:ascii="Times New Roman" w:cs="Times New Roman" w:eastAsia="Times New Roman" w:hAnsi="Times New Roman"/>
          <w:sz w:val="17"/>
          <w:szCs w:val="17"/>
          <w:color w:val="auto"/>
        </w:rPr>
        <w:t>The Company operates City of Dreams Mediterranean in conjunction with three satellite casinos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Cyprus . Rolling chip volume for the year ended December 31, 2025 was US$14.1 million, which decreased from US$32.0 million for the year ended December 31, 2024. The rolling chip win rate was 4.15% for the year ended December 31, 2025, an increase from 0.24% for the year ended December 31, 2024. Our expected range was 2.85% to 3.15%. The significant fluctuation on the rolling chip win rate resulted from low rolling chip gaming volumes. Mass market table games drop was US$657.9 million for the year ended December 31, 2025, representing an increase of</w:t>
      </w:r>
    </w:p>
    <w:p>
      <w:pPr>
        <w:spacing w:after="0" w:line="3" w:lineRule="exact"/>
        <w:rPr>
          <w:sz w:val="20"/>
          <w:szCs w:val="20"/>
          <w:color w:val="auto"/>
        </w:rPr>
      </w:pPr>
    </w:p>
    <w:p>
      <w:pPr>
        <w:ind w:left="300" w:right="160"/>
        <w:spacing w:after="0" w:line="265" w:lineRule="auto"/>
        <w:rPr>
          <w:sz w:val="20"/>
          <w:szCs w:val="20"/>
          <w:color w:val="auto"/>
        </w:rPr>
      </w:pPr>
      <w:r>
        <w:rPr>
          <w:rFonts w:ascii="Times New Roman" w:cs="Times New Roman" w:eastAsia="Times New Roman" w:hAnsi="Times New Roman"/>
          <w:sz w:val="17"/>
          <w:szCs w:val="17"/>
          <w:color w:val="auto"/>
        </w:rPr>
        <w:t>US$170.5 million, or 35.0%, from US$487.4 million for the year ended December 31, 2024. The mass market table games hold percentage was 22.3% for the year ended December 31, 2025, representing a decrease from 22.9% for the year ended December 31, 2024. Average net win per gaming machine per day was US$418 for the year ended December 31, 2025, an increase of US$78, or 23.0%, from US$340 for the year ended December 31, 2024.</w:t>
      </w:r>
    </w:p>
    <w:p>
      <w:pPr>
        <w:spacing w:after="0" w:line="378" w:lineRule="exact"/>
        <w:rPr>
          <w:sz w:val="20"/>
          <w:szCs w:val="20"/>
          <w:color w:val="auto"/>
        </w:rPr>
      </w:pPr>
    </w:p>
    <w:p>
      <w:pPr>
        <w:ind w:left="300" w:right="12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Rooms. </w:t>
      </w:r>
      <w:r>
        <w:rPr>
          <w:rFonts w:ascii="Times New Roman" w:cs="Times New Roman" w:eastAsia="Times New Roman" w:hAnsi="Times New Roman"/>
          <w:sz w:val="17"/>
          <w:szCs w:val="17"/>
          <w:color w:val="auto"/>
        </w:rPr>
        <w:t>Room revenues (including complimentary rooms) for the year ended December 31, 2025 were US$444.0 million, representing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of US$21.4 million, or 5.1%, from room revenues (including complimentary rooms) of US$422.6 million for the year ended December 31, 2024. The increase was primarily due to the increased occupancy as a result of a year-over-year increase in inbound tourism to Macau and increased occupancy in City of Dreams Mediterranean.</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average daily rate, occupancy rate and REVPAR of each property are as follows:</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5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5900" w:type="dxa"/>
            <w:vAlign w:val="bottom"/>
          </w:tcPr>
          <w:p>
            <w:pPr>
              <w:spacing w:after="0"/>
              <w:rPr>
                <w:sz w:val="11"/>
                <w:szCs w:val="11"/>
                <w:color w:val="auto"/>
              </w:rPr>
            </w:pPr>
          </w:p>
        </w:tc>
        <w:tc>
          <w:tcPr>
            <w:tcW w:w="860" w:type="dxa"/>
            <w:vAlign w:val="bottom"/>
            <w:tcBorders>
              <w:bottom w:val="single" w:sz="8" w:color="auto"/>
            </w:tcBorders>
          </w:tcPr>
          <w:p>
            <w:pPr>
              <w:jc w:val="right"/>
              <w:ind w:right="338"/>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jc w:val="right"/>
              <w:ind w:right="98"/>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1"/>
                <w:szCs w:val="11"/>
                <w:color w:val="auto"/>
              </w:rPr>
            </w:pPr>
          </w:p>
        </w:tc>
        <w:tc>
          <w:tcPr>
            <w:tcW w:w="640" w:type="dxa"/>
            <w:vAlign w:val="bottom"/>
            <w:tcBorders>
              <w:bottom w:val="single" w:sz="8" w:color="auto"/>
            </w:tcBorders>
          </w:tcPr>
          <w:p>
            <w:pPr>
              <w:jc w:val="right"/>
              <w:ind w:right="278"/>
              <w:spacing w:after="0" w:line="137"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5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1"/>
                <w:szCs w:val="11"/>
                <w:color w:val="auto"/>
              </w:rPr>
            </w:pPr>
          </w:p>
        </w:tc>
        <w:tc>
          <w:tcPr>
            <w:tcW w:w="600" w:type="dxa"/>
            <w:vAlign w:val="bottom"/>
            <w:tcBorders>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1"/>
                <w:szCs w:val="11"/>
                <w:color w:val="auto"/>
              </w:rPr>
            </w:pPr>
          </w:p>
        </w:tc>
      </w:tr>
      <w:tr>
        <w:trPr>
          <w:trHeight w:val="137"/>
        </w:trPr>
        <w:tc>
          <w:tcPr>
            <w:tcW w:w="590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Average daily rate (US$)</w:t>
            </w:r>
          </w:p>
        </w:tc>
        <w:tc>
          <w:tcPr>
            <w:tcW w:w="3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gridSpan w:val="2"/>
          </w:tcPr>
          <w:p>
            <w:pPr>
              <w:jc w:val="right"/>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Occupancy rate</w:t>
            </w:r>
          </w:p>
        </w:tc>
        <w:tc>
          <w:tcPr>
            <w:tcW w:w="46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gridSpan w:val="2"/>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REVPAR (US$)</w:t>
            </w:r>
          </w:p>
        </w:tc>
        <w:tc>
          <w:tcPr>
            <w:tcW w:w="60" w:type="dxa"/>
            <w:vAlign w:val="bottom"/>
            <w:tcBorders>
              <w:bottom w:val="single" w:sz="8" w:color="CCEEFF"/>
            </w:tcBorders>
          </w:tcPr>
          <w:p>
            <w:pPr>
              <w:spacing w:after="0"/>
              <w:rPr>
                <w:sz w:val="11"/>
                <w:szCs w:val="11"/>
                <w:color w:val="auto"/>
              </w:rPr>
            </w:pP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8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220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98%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93%</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215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60" w:type="dxa"/>
            <w:vAlign w:val="bottom"/>
            <w:shd w:val="clear" w:color="auto" w:fill="CCEEFF"/>
          </w:tcPr>
          <w:p>
            <w:pPr>
              <w:spacing w:after="0"/>
              <w:rPr>
                <w:sz w:val="17"/>
                <w:szCs w:val="17"/>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Studio City</w:t>
            </w:r>
          </w:p>
        </w:tc>
        <w:tc>
          <w:tcPr>
            <w:tcW w:w="8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rPr>
              <w:t>171</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165</w:t>
            </w:r>
          </w:p>
        </w:tc>
        <w:tc>
          <w:tcPr>
            <w:tcW w:w="6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98%</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96%</w:t>
            </w:r>
          </w:p>
        </w:tc>
        <w:tc>
          <w:tcPr>
            <w:tcW w:w="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167</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8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133</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133</w:t>
            </w:r>
          </w:p>
        </w:tc>
        <w:tc>
          <w:tcPr>
            <w:tcW w:w="6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97%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95%</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129</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127</w:t>
            </w: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8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rPr>
              <w:t>159</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164</w:t>
            </w:r>
          </w:p>
        </w:tc>
        <w:tc>
          <w:tcPr>
            <w:tcW w:w="6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94%</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97%</w:t>
            </w:r>
          </w:p>
        </w:tc>
        <w:tc>
          <w:tcPr>
            <w:tcW w:w="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8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485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425</w:t>
            </w:r>
          </w:p>
        </w:tc>
        <w:tc>
          <w:tcPr>
            <w:tcW w:w="6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62%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61%</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299</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261</w:t>
            </w:r>
          </w:p>
        </w:tc>
      </w:tr>
    </w:tbl>
    <w:p>
      <w:pPr>
        <w:spacing w:after="0" w:line="189" w:lineRule="exact"/>
        <w:rPr>
          <w:sz w:val="20"/>
          <w:szCs w:val="20"/>
          <w:color w:val="auto"/>
        </w:rPr>
      </w:pPr>
    </w:p>
    <w:p>
      <w:pPr>
        <w:ind w:left="300" w:right="16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Food, beverage and others. </w:t>
      </w:r>
      <w:r>
        <w:rPr>
          <w:rFonts w:ascii="Times New Roman" w:cs="Times New Roman" w:eastAsia="Times New Roman" w:hAnsi="Times New Roman"/>
          <w:sz w:val="17"/>
          <w:szCs w:val="17"/>
          <w:color w:val="auto"/>
        </w:rPr>
        <w:t>Food, beverage and other revenues (including complimentary food and beverage and entertainment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December 31, 2025 included food and beverage revenues of US$290.7 million and entertainment, retail and other revenues of US$181.6 million. Food, beverage</w:t>
      </w:r>
    </w:p>
    <w:p>
      <w:pPr>
        <w:spacing w:after="0" w:line="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0960"/>
          </w:cols>
          <w:pgMar w:left="320" w:top="472" w:right="6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9" w:lineRule="auto"/>
        <w:rPr>
          <w:sz w:val="20"/>
          <w:szCs w:val="20"/>
          <w:color w:val="auto"/>
        </w:rPr>
      </w:pPr>
      <w:r>
        <w:rPr>
          <w:rFonts w:ascii="Times New Roman" w:cs="Times New Roman" w:eastAsia="Times New Roman" w:hAnsi="Times New Roman"/>
          <w:sz w:val="17"/>
          <w:szCs w:val="17"/>
          <w:color w:val="auto"/>
        </w:rPr>
        <w:t>and other revenues (including complimentary food and beverage and entertainment services) for the year ended December 31, 2024 included food and beverage revenues of US$285.9 million and entertainment, retail and other revenues of US$157.1 million. The increase of US$29.3 million in food, beverage and other revenues from the year ended December 31, 2024 to the year ended December 31, 2025 was primarily due to the re-launch of House of Dancing Water in May 2025.</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Operating costs and expenses</w:t>
      </w:r>
    </w:p>
    <w:p>
      <w:pPr>
        <w:spacing w:after="0" w:line="122" w:lineRule="exact"/>
        <w:rPr>
          <w:sz w:val="20"/>
          <w:szCs w:val="20"/>
          <w:color w:val="auto"/>
        </w:rPr>
      </w:pPr>
    </w:p>
    <w:p>
      <w:pPr>
        <w:ind w:left="300" w:right="1080" w:firstLine="960"/>
        <w:spacing w:after="0" w:line="295" w:lineRule="auto"/>
        <w:rPr>
          <w:sz w:val="20"/>
          <w:szCs w:val="20"/>
          <w:color w:val="auto"/>
        </w:rPr>
      </w:pPr>
      <w:r>
        <w:rPr>
          <w:rFonts w:ascii="Times New Roman" w:cs="Times New Roman" w:eastAsia="Times New Roman" w:hAnsi="Times New Roman"/>
          <w:sz w:val="17"/>
          <w:szCs w:val="17"/>
          <w:color w:val="auto"/>
        </w:rPr>
        <w:t>Total operating costs and expenses were US$4.56 billion for the year ended December 31, 2025, representing an increase of US$409.3 million, or 9.9%, from US$4.15 billion for the year ended December 31, 2024.</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Casino</w:t>
      </w:r>
      <w:r>
        <w:rPr>
          <w:rFonts w:ascii="Times New Roman" w:cs="Times New Roman" w:eastAsia="Times New Roman" w:hAnsi="Times New Roman"/>
          <w:sz w:val="17"/>
          <w:szCs w:val="17"/>
          <w:color w:val="auto"/>
        </w:rPr>
        <w:t>. Casino expenses increased by US$211.9 million, or 8.4%, to US$2.74 billion for the year ended December 31, 2025 from</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US$2.52 billion for the year ended December 31, 2024, primarily due to an increase in gaming taxes, which increased as a result of increased gaming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volumes and associated higher group-wide revenues, higher payroll expenses and higher provision for credit losses, partially offset by lower marketing</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and promotional expenses.</w:t>
      </w:r>
    </w:p>
    <w:p>
      <w:pPr>
        <w:spacing w:after="0" w:line="203" w:lineRule="exact"/>
        <w:rPr>
          <w:sz w:val="20"/>
          <w:szCs w:val="20"/>
          <w:color w:val="auto"/>
        </w:rPr>
      </w:pPr>
    </w:p>
    <w:p>
      <w:pPr>
        <w:ind w:left="300" w:right="26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Rooms. </w:t>
      </w:r>
      <w:r>
        <w:rPr>
          <w:rFonts w:ascii="Times New Roman" w:cs="Times New Roman" w:eastAsia="Times New Roman" w:hAnsi="Times New Roman"/>
          <w:sz w:val="17"/>
          <w:szCs w:val="17"/>
          <w:color w:val="auto"/>
        </w:rPr>
        <w:t>Room expenses, which represent the costs of operating the hotel facilities were US$148.4 million and US$127.9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years ended December 31, 2025 and 2024, respectively. The increase was primarily due to increased occupancy in Macau, as well as increased occupancy and available rooms in Cyprus, which was in-line with higher room revenues for the year ended December 31, 2025.</w:t>
      </w:r>
    </w:p>
    <w:p>
      <w:pPr>
        <w:spacing w:after="0" w:line="160" w:lineRule="exact"/>
        <w:rPr>
          <w:sz w:val="20"/>
          <w:szCs w:val="20"/>
          <w:color w:val="auto"/>
        </w:rPr>
      </w:pPr>
    </w:p>
    <w:p>
      <w:pPr>
        <w:ind w:left="30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Food, beverage and others. </w:t>
      </w:r>
      <w:r>
        <w:rPr>
          <w:rFonts w:ascii="Times New Roman" w:cs="Times New Roman" w:eastAsia="Times New Roman" w:hAnsi="Times New Roman"/>
          <w:sz w:val="17"/>
          <w:szCs w:val="17"/>
          <w:color w:val="auto"/>
        </w:rPr>
        <w:t>Food, beverage and other expenses were US$342.2 million and US$309.5 million for the years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2025 and 2024, respectively. The increase was primarily due to higher payroll expenses and other expenses, which was in-line with higher food, beverage and other revenues for the year ended December 31, 2025.</w:t>
      </w:r>
    </w:p>
    <w:p>
      <w:pPr>
        <w:spacing w:after="0" w:line="160" w:lineRule="exact"/>
        <w:rPr>
          <w:sz w:val="20"/>
          <w:szCs w:val="20"/>
          <w:color w:val="auto"/>
        </w:rPr>
      </w:pPr>
    </w:p>
    <w:p>
      <w:pPr>
        <w:ind w:left="300" w:right="1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increased by US$88.7 million, or 15.6%, to US$657.4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2025 from US$568.7 million for the year ended December 31, 2024, primarily due to the full year trademark license fees to Melco International for the use of certain licensed marks granted by Melco International, an increase in payroll expenses, maintenance costs, marketing expenses and other general and administrative expenses to support the continuous ramp up of operations in 2025.</w:t>
      </w:r>
    </w:p>
    <w:p>
      <w:pPr>
        <w:spacing w:after="0" w:line="166" w:lineRule="exact"/>
        <w:rPr>
          <w:sz w:val="20"/>
          <w:szCs w:val="20"/>
          <w:color w:val="auto"/>
        </w:rPr>
      </w:pPr>
    </w:p>
    <w:p>
      <w:pPr>
        <w:ind w:left="300" w:right="8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Payments to the Philippine Parties. </w:t>
      </w:r>
      <w:r>
        <w:rPr>
          <w:rFonts w:ascii="Times New Roman" w:cs="Times New Roman" w:eastAsia="Times New Roman" w:hAnsi="Times New Roman"/>
          <w:sz w:val="17"/>
          <w:szCs w:val="17"/>
          <w:color w:val="auto"/>
        </w:rPr>
        <w:t>Payments to the Philippine Parties decreased to US$37.2 million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from US$41.9 million for the year ended December 31, 2024, primarily due to the softer performance in gaming operations and resulting decrease in revenues from gaming operations in City of Dreams Manila.</w:t>
      </w:r>
    </w:p>
    <w:p>
      <w:pPr>
        <w:spacing w:after="0" w:line="160" w:lineRule="exact"/>
        <w:rPr>
          <w:sz w:val="20"/>
          <w:szCs w:val="20"/>
          <w:color w:val="auto"/>
        </w:rPr>
      </w:pPr>
    </w:p>
    <w:p>
      <w:pPr>
        <w:ind w:left="300" w:right="1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Pre-opening costs. </w:t>
      </w:r>
      <w:r>
        <w:rPr>
          <w:rFonts w:ascii="Times New Roman" w:cs="Times New Roman" w:eastAsia="Times New Roman" w:hAnsi="Times New Roman"/>
          <w:sz w:val="17"/>
          <w:szCs w:val="17"/>
          <w:color w:val="auto"/>
        </w:rPr>
        <w:t>Pre-opening costs were US$50.6 million and US$20.9 million for the years ended December 31, 2025 and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Such costs relate primarily to personnel training, rental, marketing, advertising and administrative costs in connection with new or start-up operations. Higher pre-opening costs for the year ended December 31, 2025 were due to the re-launch of House of Dancing Water and the opening of City of Dreams Sri Lanka in 2025.</w:t>
      </w:r>
    </w:p>
    <w:p>
      <w:pPr>
        <w:spacing w:after="0" w:line="166" w:lineRule="exact"/>
        <w:rPr>
          <w:sz w:val="20"/>
          <w:szCs w:val="20"/>
          <w:color w:val="auto"/>
        </w:rPr>
      </w:pPr>
    </w:p>
    <w:p>
      <w:pPr>
        <w:ind w:left="300" w:right="56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Development costs. </w:t>
      </w:r>
      <w:r>
        <w:rPr>
          <w:rFonts w:ascii="Times New Roman" w:cs="Times New Roman" w:eastAsia="Times New Roman" w:hAnsi="Times New Roman"/>
          <w:sz w:val="17"/>
          <w:szCs w:val="17"/>
          <w:color w:val="auto"/>
        </w:rPr>
        <w:t>Development costs were US$7.6 million and US$5.4 million for the years ended December 31, 2025 and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which predominantly related to travel and entertainment costs as well as professional and consultancy fees for corporate business development.</w:t>
      </w:r>
    </w:p>
    <w:p>
      <w:pPr>
        <w:spacing w:after="0" w:line="160" w:lineRule="exact"/>
        <w:rPr>
          <w:sz w:val="20"/>
          <w:szCs w:val="20"/>
          <w:color w:val="auto"/>
        </w:rPr>
      </w:pPr>
    </w:p>
    <w:p>
      <w:pPr>
        <w:ind w:left="300" w:right="8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Amortization of land use rights. </w:t>
      </w:r>
      <w:r>
        <w:rPr>
          <w:rFonts w:ascii="Times New Roman" w:cs="Times New Roman" w:eastAsia="Times New Roman" w:hAnsi="Times New Roman"/>
          <w:sz w:val="17"/>
          <w:szCs w:val="17"/>
          <w:color w:val="auto"/>
        </w:rPr>
        <w:t>Amortization expenses for the land use rights continued to be recognized on a straight-line basis and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US$20.0 million for both the years ended December 31, 2025 and 2024.</w:t>
      </w:r>
    </w:p>
    <w:p>
      <w:pPr>
        <w:spacing w:after="0" w:line="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960"/>
          </w:cols>
          <w:pgMar w:left="320" w:top="472" w:right="6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expenses slightly increased by US$2.0 million, or 0.4%, to</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US$523.6 million for the year ended December 31, 2025 from US$521.6 million for the year ended December 31, 2024. The slight increase was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primarily due to the higher depreciation and amortization expenses at City of Dreams and Studio City as a result of more gaming equipment as well as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more property enhancements that placed into service and higher depreciation and amortization expenses upon the opening of City of Dreams Sri Lanka</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during the year ended December 31, 2025, partially offset by lower depreciation and amortization expenses as a result of the fully depreciated assets at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City of Dreams Manila.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 xml:space="preserve">Property charges and other. </w:t>
      </w:r>
      <w:r>
        <w:rPr>
          <w:rFonts w:ascii="Times New Roman" w:cs="Times New Roman" w:eastAsia="Times New Roman" w:hAnsi="Times New Roman"/>
          <w:sz w:val="17"/>
          <w:szCs w:val="17"/>
          <w:color w:val="auto"/>
        </w:rPr>
        <w:t>Property charges and other for the year ended December 31, 2025 were US$39.5 million, which primarily</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included impairment on goodwill in relation to the Mocha Clubs and asset impairments in Altira Macau, partially offset by reversal of provision for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litigation claims related to junket player deposits. In 2025, we recognized an impairment of goodwill in relation to the Mocha and Other segment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US$57.9 million as a result of three Mocha Clubs ceasing operations between the period from September to December 2025. Property charges and other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the year ended December 31, 2024 were US$13.2 million, which primarily included the litigation claims related to junket player deposits, repairs and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maintenance costs incurred as a result of a typhoons and remodeling, and asset impairments in Altira Macau.</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Non-operating expenses, net</w:t>
      </w:r>
    </w:p>
    <w:p>
      <w:pPr>
        <w:spacing w:after="0" w:line="122" w:lineRule="exact"/>
        <w:rPr>
          <w:sz w:val="20"/>
          <w:szCs w:val="20"/>
          <w:color w:val="auto"/>
        </w:rPr>
      </w:pPr>
    </w:p>
    <w:p>
      <w:pPr>
        <w:ind w:left="300" w:right="680" w:firstLine="960"/>
        <w:spacing w:after="0" w:line="295" w:lineRule="auto"/>
        <w:rPr>
          <w:sz w:val="20"/>
          <w:szCs w:val="20"/>
          <w:color w:val="auto"/>
        </w:rPr>
      </w:pPr>
      <w:r>
        <w:rPr>
          <w:rFonts w:ascii="Times New Roman" w:cs="Times New Roman" w:eastAsia="Times New Roman" w:hAnsi="Times New Roman"/>
          <w:sz w:val="17"/>
          <w:szCs w:val="17"/>
          <w:color w:val="auto"/>
        </w:rPr>
        <w:t>Net non-operating expenses consist of interest income, interest expense, net of amounts capitalized, other financing costs, foreign exchange gains (losses), net, loss on extinguishment of debt and other non-operating income, net.</w:t>
      </w:r>
    </w:p>
    <w:p>
      <w:pPr>
        <w:spacing w:after="0" w:line="147"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Interest income was US$8.5 million for the year ended December 31, 2025, as compared to US$15.8 million for the year ended December 31, 2024. The decrease in interest income was primarily due to lower bank interest income as a result of lower average bank balances during the year ended December 31, 2025.</w:t>
      </w:r>
    </w:p>
    <w:p>
      <w:pPr>
        <w:spacing w:after="0" w:line="162"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Interest expense was US$464.9 million (net of amounts capitalized of US$1.2 million) for the year ended December 31, 2025, compared to US$486.7 million (net of amounts capitalized of US$0.3 million) for the year ended December 31, 2024. The decrease in interest expense (net of amounts capitalization) of US$21.8 million was primarily due to decreases in our weighted average total borrowings balance.</w:t>
      </w:r>
    </w:p>
    <w:p>
      <w:pPr>
        <w:spacing w:after="0" w:line="16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Other financing costs for the year ended December 31, 2025 amounted to US$6.7 million, compared to US$7.4 million for the year ended December 31, 2024. The decrease in other financing costs was primarily due to a decrease in loan commitment fees as result of the net drawdowns of the MN1 2020 Revolving Facilities during the year ended December 31, 2025, partially offset by the full year loan committee fees in the year 2025 for the SCC 2024 Revolving Facilities entered in November 2024.</w:t>
      </w:r>
    </w:p>
    <w:p>
      <w:pPr>
        <w:spacing w:after="0" w:line="169"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Other income, net for the year ended December 31, 2025 amounted to US$3.0 million, compared to US$3.8 million for the year ended December 31, 2024.</w:t>
      </w:r>
    </w:p>
    <w:p>
      <w:pPr>
        <w:spacing w:after="0" w:line="147"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Loss on extinguishment of debt for the year ended December 31, 2025 was US$0.8 million and was associated with the 2026 MRF Senior Notes Tender Offer and early redemption of the remaining 2026 MRF Senior Notes. Loss on extinguishment of debt for the year ended December 31, 2024 was US$1.0 million and was primarily associated with the 2025 SCF Senior Notes Tender Offer (2024).</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22"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Income tax expense for the year ended December 31, 2025 was primarily attributable to payments in lieu of Macau Complementary Tax otherwise due by Melco Resorts Macau’s shareholders on dividends distributable to them by Melco Resorts Macau of US$7.8 million, Macau Complementary Tax of US$7.7 million and Philippine withholding tax on dividends of U$5.9 million, partially offset by over-provision of Hong Kong</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0960"/>
          </w:cols>
          <w:pgMar w:left="320" w:top="472" w:right="6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Profits Tax of US$10.4 million, over-provision of Macau Complementary Tax in prior years of US$6.4 million and deferred income tax credit of</w:t>
      </w:r>
    </w:p>
    <w:p>
      <w:pPr>
        <w:spacing w:after="0" w:line="32"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7"/>
          <w:szCs w:val="17"/>
          <w:color w:val="auto"/>
        </w:rPr>
        <w:t>US$2.0 million. The effective tax rate for the year ended December 31, 2025 was 1.91%, as compared to (340.37)% for the year ended December 31, 2024. Such rates differ from the statutory Macau Complementary Tax rate of 12%, where the Company’s majority operations are located, primarily due to the effect of gaming profits exempted from income tax, income for which no income tax is payable, expenses for which no income tax benefit is receivable, different tax rates of subsidiaries operating in other jurisdictions, and changes in valuation allowance for the relevant years. The effective tax rate in 2025 was also impacted by the effect of change in unrecognized tax benefits and in 2024, the effect of expired tax losses.</w:t>
      </w:r>
    </w:p>
    <w:p>
      <w:pPr>
        <w:spacing w:after="0" w:line="178"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Our management currently does not expect to realize significant income tax benefits associated with net operating loss carryforwards and other deferred tax assets generated by our Macau, Philippine, Cyprus and Sri Lanka operations. However, to the extent that the financial results of our Macau, Philippine, Cyprus and Sri Lanka operations improve and it becomes more likely than not that the deferred tax assets are realizable, we will be able to reduce the valuation allowance related to the net operating losses and other deferred tax assets.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Net loss attributable to noncontrolling interests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net loss attributable to noncontrolling interests was US$39.6 million for the year ended December 31, 2025, compared to</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US$71.5 million for the year ended December 31, 2024. For the year ended December 31, 2025, such net loss represented the share of Studio City’s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expenses of US$32.6 million, City of Dreams Mediterranean and Other’s expenses of US$7.2 million, partially offset by City of Dreams Manila’s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income of US$0.2 million attributable to the respective minority shareholders.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Net income attributable to Melco Resorts &amp; Entertainment Limited</w:t>
      </w:r>
    </w:p>
    <w:p>
      <w:pPr>
        <w:spacing w:after="0" w:line="12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As a result of the foregoing, we had net income attributable to Melco Resorts &amp; Entertainment Limited of US$185.0 million for the year ended December 31, 2025, compared to US$43.5 million for the year ended December 31, 2024.</w:t>
      </w:r>
    </w:p>
    <w:p>
      <w:pPr>
        <w:spacing w:after="0" w:line="147"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For a discussion of our results of operations for the year ended December 31, 2024 compared with the year ended December 31, 2023, see “Item 5. Operating and Financial Review and Prospects — A. Operating Results — Year Ended December 31, 2024 Compared to Year Ended December 31, 2023” of our annual report on Form 20-F for the fiscal year ended December 31, 2024, filed with the SEC on March 21, 2025.</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Adjusted Property EBITDA and Adjusted EBITDA</w:t>
      </w:r>
    </w:p>
    <w:p>
      <w:pPr>
        <w:spacing w:after="0" w:line="120"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Our Chief Executive Officer is the Chief Operating Decision Maker (“CODM”) of the Company. The CODM uses Adjusted Property EBITDA for each segment as the measure of segment profit or loss to allocate resources to each segment and to compare the operating performance of the Company’s properties with those of its competitors as a way to assess performance. Adjusted Property EBITDA is net income/loss before interest, taxes, depreciation, amortization, pre-opening costs, development costs, property charges and other, share-based compensation, payments to the Philippine Parties, integrated resort and casino rent, Corporate and Other expenses, and other non-operating income and expenses.</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0900"/>
          </w:cols>
          <w:pgMar w:left="320" w:top="472" w:right="6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a summary of our Adjusted Property EBITDA for the years presented.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10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gridSpan w:val="3"/>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822,134</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621,642</w:t>
            </w:r>
          </w:p>
        </w:tc>
        <w:tc>
          <w:tcPr>
            <w:tcW w:w="4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Studio City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341,239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(4,053)</w:t>
            </w: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(1,922)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Mocha and Other</w:t>
            </w:r>
            <w:r>
              <w:rPr>
                <w:rFonts w:ascii="Times New Roman" w:cs="Times New Roman" w:eastAsia="Times New Roman" w:hAnsi="Times New Roman"/>
                <w:sz w:val="24"/>
                <w:szCs w:val="24"/>
                <w:color w:val="auto"/>
                <w:vertAlign w:val="superscript"/>
              </w:rPr>
              <w:t>(1)</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26,974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132,788</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181,058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50,546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Other Operations</w:t>
            </w:r>
            <w:r>
              <w:rPr>
                <w:rFonts w:ascii="Times New Roman" w:cs="Times New Roman" w:eastAsia="Times New Roman" w:hAnsi="Times New Roman"/>
                <w:sz w:val="24"/>
                <w:szCs w:val="24"/>
                <w:color w:val="auto"/>
                <w:vertAlign w:val="superscript"/>
              </w:rPr>
              <w:t>(2)</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(4,624)</w:t>
            </w: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Adjusted Property EBITDA</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1,430,439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1,219,342</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32" w:lineRule="exact"/>
        <w:rPr>
          <w:sz w:val="20"/>
          <w:szCs w:val="20"/>
          <w:color w:val="auto"/>
        </w:rPr>
      </w:pPr>
    </w:p>
    <w:p>
      <w:pPr>
        <w:ind w:left="720" w:right="340" w:hanging="428"/>
        <w:spacing w:after="0" w:line="273" w:lineRule="auto"/>
        <w:tabs>
          <w:tab w:leader="none" w:pos="7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Mocha and Other segment included the operation of Grand Dragon Casino before its closure and was changed to Mocha segment effective on September 23, 2025.</w:t>
      </w:r>
    </w:p>
    <w:p>
      <w:pPr>
        <w:spacing w:after="0" w:line="72" w:lineRule="exact"/>
        <w:rPr>
          <w:rFonts w:ascii="Times New Roman" w:cs="Times New Roman" w:eastAsia="Times New Roman" w:hAnsi="Times New Roman"/>
          <w:sz w:val="17"/>
          <w:szCs w:val="17"/>
          <w:color w:val="auto"/>
        </w:rPr>
      </w:pPr>
    </w:p>
    <w:p>
      <w:pPr>
        <w:ind w:left="720" w:right="100" w:hanging="428"/>
        <w:spacing w:after="0" w:line="276" w:lineRule="auto"/>
        <w:tabs>
          <w:tab w:leader="none" w:pos="7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August 1, 2025, the initial opening of Sri Lanka Casino, the operations in Sri Lanka including the provision of management services to Nüwa Sri Lanka effective from its opening on July 15, 2025, which were previously reported under the Corporate and Other category, has been included in the Other Operations segment for the years ended December 31, 2025 and 2024.</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City of Dreams</w:t>
      </w:r>
    </w:p>
    <w:p>
      <w:pPr>
        <w:spacing w:after="0" w:line="120"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City of Dreams generated Adjusted Property EBITDA of US$822.1 million in 2025, compared with US$621.6 million in 2024. The year-over-year increase in Adjusted Property EBITDA was a result of improved performance in rolling chip, mass market table games and non-gaming operations, led by the continued recovery in inbound tourism to Macau in 2025 and the re-launch of House of Dancing Water in May 2025. The increase was partially offset by higher operating costs for the increase in business activities and an increase in staffing levels to enhance service quality and improve performance.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Studio City</w:t>
      </w:r>
    </w:p>
    <w:p>
      <w:pPr>
        <w:spacing w:after="0" w:line="120"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Studio City generated Adjusted Property EBITDA of US$393.8 million in 2025, compared with US$341.2 million in 2024. The year-over-year increase in Adjusted Property EBITDA was a result of improved performance in mass market operations, led by the continued recovery in inbound tourism to Macau in 2025. The increase was partially offset by higher operating costs for the increase in business activities and an increase in staffing levels to enhance service quality and improve performance.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Altira Macau</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Altira Macau generated negative Adjusted Property EBITDA of US$4.1 million and US$1.9 million in 2025 and 2024, respectively.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Mocha and Other</w:t>
      </w:r>
    </w:p>
    <w:p>
      <w:pPr>
        <w:spacing w:after="0" w:line="120" w:lineRule="exact"/>
        <w:rPr>
          <w:sz w:val="20"/>
          <w:szCs w:val="20"/>
          <w:color w:val="auto"/>
        </w:rPr>
      </w:pPr>
    </w:p>
    <w:p>
      <w:pPr>
        <w:jc w:val="both"/>
        <w:ind w:left="300" w:right="560" w:firstLine="960"/>
        <w:spacing w:after="0" w:line="276" w:lineRule="auto"/>
        <w:rPr>
          <w:sz w:val="20"/>
          <w:szCs w:val="20"/>
          <w:color w:val="auto"/>
        </w:rPr>
      </w:pPr>
      <w:r>
        <w:rPr>
          <w:rFonts w:ascii="Times New Roman" w:cs="Times New Roman" w:eastAsia="Times New Roman" w:hAnsi="Times New Roman"/>
          <w:sz w:val="17"/>
          <w:szCs w:val="17"/>
          <w:color w:val="auto"/>
        </w:rPr>
        <w:t>Mocha and Other generated Adjusted Property EBITDA of US$22.2 million and US$27.0 million in 2025 and 2024, respectively. The-year-over-year decrease in Adjusted Property EBITDA was a result of the closure of Grand Dragon Casino and three Mocha Clubs between September and December 2025, which led to decreased gaming volumes in mass market operations.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920"/>
          </w:cols>
          <w:pgMar w:left="320" w:top="472" w:right="6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City of Dreams Manila</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City of Dreams Manila generated Adjusted Property EBITDA of US$132.8 million in 2025, compared with US$181.1 million in 2024.</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year-over-year decrease in Adjusted Property EBITDA was primarily a result of softer performance in all gaming and non-gaming operations.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City of Dreams Mediterranean and Other</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City of Dreams Mediterranean and Other generated Adjusted Property EBITDA of US$68.2 million in 2025, compared with</w:t>
      </w:r>
    </w:p>
    <w:p>
      <w:pPr>
        <w:spacing w:after="0" w:line="32" w:lineRule="exact"/>
        <w:rPr>
          <w:sz w:val="20"/>
          <w:szCs w:val="20"/>
          <w:color w:val="auto"/>
        </w:rPr>
      </w:pPr>
    </w:p>
    <w:p>
      <w:pPr>
        <w:ind w:left="300"/>
        <w:spacing w:after="0" w:line="265" w:lineRule="auto"/>
        <w:rPr>
          <w:sz w:val="20"/>
          <w:szCs w:val="20"/>
          <w:color w:val="auto"/>
        </w:rPr>
      </w:pPr>
      <w:r>
        <w:rPr>
          <w:rFonts w:ascii="Times New Roman" w:cs="Times New Roman" w:eastAsia="Times New Roman" w:hAnsi="Times New Roman"/>
          <w:sz w:val="17"/>
          <w:szCs w:val="17"/>
          <w:color w:val="auto"/>
        </w:rPr>
        <w:t>US$50.5 million in 2024. The year-over-year increase in Adjusted Property EBITDA was primarily a result of improved performance in all gaming and non-gaming operations. The increase was partially offset by higher operating costs for the increase in business activities and an increase in staffing levels to enhance service quality and improve performance.</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Operations</w:t>
      </w:r>
    </w:p>
    <w:p>
      <w:pPr>
        <w:spacing w:after="0" w:line="120" w:lineRule="exact"/>
        <w:rPr>
          <w:sz w:val="20"/>
          <w:szCs w:val="20"/>
          <w:color w:val="auto"/>
        </w:rPr>
      </w:pPr>
    </w:p>
    <w:p>
      <w:pPr>
        <w:jc w:val="both"/>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Other operations include the Company’s casino operations at City of Dreams Sri Lanka, which commenced business on August 1, 2025, and provision of management services to the Nüwa hotel at City of Dreams Sri Lanka, which opened to the public on July 15, 2025. Other operations generated negative Adjusted Property EBITDA of US$4.6 million in 2025.</w:t>
      </w:r>
    </w:p>
    <w:p>
      <w:pPr>
        <w:spacing w:after="0" w:line="16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a summary of reconciliation of net income/loss attributable to Melco Resorts &amp; Entertainment Limited to Adjusted EBITDA and Adjusted Property EBITDA for the years presented.</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left="356"/>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income (loss) attributable to Melco Resorts &amp; Entertainment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185,045</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43,543</w:t>
            </w:r>
          </w:p>
        </w:tc>
        <w:tc>
          <w:tcPr>
            <w:tcW w:w="4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(326,920)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(39,589)</w:t>
            </w: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(71,502)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(88,410)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(27,959)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(415,330)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other non-operating expenses,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452,141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543,562</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541,538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29,270</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 costs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Pre-opening costs</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46,390</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Integrated resort and casino rent</w:t>
            </w:r>
            <w:r>
              <w:rPr>
                <w:rFonts w:ascii="Times New Roman" w:cs="Times New Roman" w:eastAsia="Times New Roman" w:hAnsi="Times New Roman"/>
                <w:sz w:val="24"/>
                <w:szCs w:val="24"/>
                <w:color w:val="auto"/>
                <w:vertAlign w:val="superscript"/>
              </w:rPr>
              <w:t>(2)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Payments to the Philippine Parties</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41,939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1,316,643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1,140,395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 expenses</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Property EBITDA</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1,430,439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1,219,342</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32" w:lineRule="exact"/>
        <w:rPr>
          <w:sz w:val="20"/>
          <w:szCs w:val="20"/>
          <w:color w:val="auto"/>
        </w:rPr>
      </w:pPr>
    </w:p>
    <w:p>
      <w:pPr>
        <w:ind w:left="720" w:hanging="428"/>
        <w:spacing w:after="0"/>
        <w:tabs>
          <w:tab w:leader="none" w:pos="7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amount of pre-opening costs are grouped and reported under the line item Integrated resort and casino rent</w:t>
      </w:r>
    </w:p>
    <w:p>
      <w:pPr>
        <w:spacing w:after="0" w:line="113" w:lineRule="exact"/>
        <w:rPr>
          <w:rFonts w:ascii="Times New Roman" w:cs="Times New Roman" w:eastAsia="Times New Roman" w:hAnsi="Times New Roman"/>
          <w:sz w:val="17"/>
          <w:szCs w:val="17"/>
          <w:color w:val="auto"/>
        </w:rPr>
      </w:pPr>
    </w:p>
    <w:p>
      <w:pPr>
        <w:ind w:left="720" w:right="160" w:hanging="428"/>
        <w:spacing w:after="0" w:line="295" w:lineRule="auto"/>
        <w:tabs>
          <w:tab w:leader="none" w:pos="7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resort and casino rent represents land rent and variable lease costs to Belle Corporation and casino rent to a subsidiary of John Keells Holdings PLC</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880"/>
          </w:cols>
          <w:pgMar w:left="320" w:top="472" w:right="6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Adjusted EBITDA is net income/loss before interest, taxes, depreciation, amortization, pre-opening costs, development costs, property charges and other, share-based compensation, payments to the Philippine Parties, integrated resort and casino rent and other non-operating income and expenses.</w:t>
      </w:r>
    </w:p>
    <w:p>
      <w:pPr>
        <w:spacing w:after="0" w:line="16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Adjusted EBITDA and Adjusted Property EBITDA, which are non-GAAP financial measures, are presented as supplemental disclosures because management believes they are widely used to measure the performance, and as a basis for valuation, of gaming companies. Management uses Adjusted EBITDA and Adjusted Property EBITDA to measure the operating performance of our segments and to compare the operating performance of our properties with those of our competitors.</w:t>
      </w:r>
    </w:p>
    <w:p>
      <w:pPr>
        <w:spacing w:after="0" w:line="169"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The Company also presents Adjusted EBITDA and Adjusted Property EBITDA because they are used by some investors as ways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and Adjusted Property EBITDA should not be considered as alternatives to operating income/loss as indicators of the Company’s performance, as alternatives to cash flows from operating activities as measures of liquidity, or as alternatives to any other measure determined in accordance with U.S. GAAP. Unlike net income/loss, Adjusted EBITDA and Adjusted Property EBITDA do not include depreciation and amortization or interest expense and, therefore, do not reflect current or future capital expenditures or the cost of capital. The Company recognizes these limitations and uses Adjusted EBITDA and Adjusted Property EBITDA as only two of several comparative tools, together with U.S. GAAP measurements, to assist in the evaluation of operating performance.</w:t>
      </w:r>
    </w:p>
    <w:p>
      <w:pPr>
        <w:spacing w:after="0" w:line="178"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or Adjusted Property EBITDA. Also, the Company’s calculation of Adjusted EBITDA and Adjusted Property EBITDA may be different from the calculation methods used by other companies and, therefore, comparability may be limited. The use of Adjusted Property EBITDA and Adjusted EBITDA has material limitations as an analytical tool, as Adjusted Property EBITDA and Adjusted EBITDA do not include all items that impact our net income/loss. Investors are encouraged to review the reconciliation of the historical non-GAAP financial measure to its most directly comparable GAAP financial measure.</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120" w:lineRule="exact"/>
        <w:rPr>
          <w:sz w:val="20"/>
          <w:szCs w:val="20"/>
          <w:color w:val="auto"/>
        </w:rPr>
      </w:pPr>
    </w:p>
    <w:p>
      <w:pPr>
        <w:ind w:left="300" w:right="400" w:firstLine="960"/>
        <w:spacing w:after="0" w:line="295" w:lineRule="auto"/>
        <w:rPr>
          <w:sz w:val="20"/>
          <w:szCs w:val="20"/>
          <w:color w:val="auto"/>
        </w:rPr>
      </w:pPr>
      <w:r>
        <w:rPr>
          <w:rFonts w:ascii="Times New Roman" w:cs="Times New Roman" w:eastAsia="Times New Roman" w:hAnsi="Times New Roman"/>
          <w:sz w:val="17"/>
          <w:szCs w:val="17"/>
          <w:color w:val="auto"/>
        </w:rPr>
        <w:t>We have relied and intend to rely on our cash generated from our operations and our debt and equity financings to meet our financing needs and repay our indebtedness, as the case may be.</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As of December 31, 2025, we held cash and cash equivalents and restricted cash (mainly being cash collateral for concession-related guarantees issued to the Macau government and security under credit facilities) of US$1.02 billion and US$125.2 million, respectively. Major currencies in which our cash and bank balances (including restricted cash) were held as of December 31, 2025 were the U.S. dollar, H.K. dollar, Euro, Philippine peso, Pataca and Sri Lanka rupee.</w:t>
      </w:r>
    </w:p>
    <w:p>
      <w:pPr>
        <w:spacing w:after="0" w:line="169"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As of December 31, 2025, we had the following bank credit facilities available for future drawdown, subject to satisfaction of certain conditions precedent: (1) HK$8.34 billion (equivalent to US$1.07 billion) of the MN1 2020 Revolving Facilities; (2) the HK$1.0 million (equivalent to US$0.1 million) of the revolving credit facility under the MRM 2015 Credit Facilities; (3) the HK$1.56 billion (equivalent to US$200.0 million) of the SCC 2024 Revolving Facilities, of which US$119.9 million is available to draw, subject to the satisfaction of certain conditions; and (4) the</w:t>
      </w:r>
    </w:p>
    <w:p>
      <w:pPr>
        <w:spacing w:after="0" w:line="1" w:lineRule="exact"/>
        <w:rPr>
          <w:sz w:val="20"/>
          <w:szCs w:val="20"/>
          <w:color w:val="auto"/>
        </w:rPr>
      </w:pPr>
    </w:p>
    <w:p>
      <w:pPr>
        <w:ind w:left="300" w:right="20"/>
        <w:spacing w:after="0" w:line="273" w:lineRule="auto"/>
        <w:rPr>
          <w:sz w:val="20"/>
          <w:szCs w:val="20"/>
          <w:color w:val="auto"/>
        </w:rPr>
      </w:pPr>
      <w:r>
        <w:rPr>
          <w:rFonts w:ascii="Times New Roman" w:cs="Times New Roman" w:eastAsia="Times New Roman" w:hAnsi="Times New Roman"/>
          <w:sz w:val="17"/>
          <w:szCs w:val="17"/>
          <w:color w:val="auto"/>
        </w:rPr>
        <w:t>PHP2.35 billion (equivalent to US$39.9 million) bank credit facility of MRP. Available liquidity, including cash and cash equivalents and restricted cash and undrawn revolving credit facilities as of December 31, 2025 was approximately US$2.38 billion. We have been able to meet our working</w:t>
      </w:r>
    </w:p>
    <w:p>
      <w:pPr>
        <w:spacing w:after="0" w:line="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940"/>
          </w:cols>
          <w:pgMar w:left="320" w:top="472" w:right="6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62" w:lineRule="auto"/>
        <w:rPr>
          <w:sz w:val="20"/>
          <w:szCs w:val="20"/>
          <w:color w:val="auto"/>
        </w:rPr>
      </w:pPr>
      <w:r>
        <w:rPr>
          <w:rFonts w:ascii="Times New Roman" w:cs="Times New Roman" w:eastAsia="Times New Roman" w:hAnsi="Times New Roman"/>
          <w:sz w:val="17"/>
          <w:szCs w:val="17"/>
          <w:color w:val="auto"/>
        </w:rPr>
        <w:t>capital needs, and we believe that our operating cash flow, existing cash balances, funds available under various credit facilities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 We may from time to time seek to retire or purchase our outstanding debt through open market purchases, tender offers, privately-negotiated transactions or otherwise. Such purchases, if any, will depend on prevailing market conditions, our liquidity requirements, contractual restrictions and other factors. The amounts involved may be material.</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years presented.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173"/>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jc w:val="right"/>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818,115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626,656</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(341,775)</w:t>
            </w: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(300,807)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(48,513)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(603,117)</w:t>
            </w:r>
          </w:p>
        </w:tc>
        <w:tc>
          <w:tcPr>
            <w:tcW w:w="1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(478,349)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(1,129,124)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(10,264)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cash, cash equivalents and restricted cash</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(124,638)</w:t>
            </w:r>
          </w:p>
        </w:tc>
        <w:tc>
          <w:tcPr>
            <w:tcW w:w="1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(162,764)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(552,621)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1,273,072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1,148,434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1,273,072</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2" w:lineRule="exact"/>
        <w:rPr>
          <w:sz w:val="20"/>
          <w:szCs w:val="20"/>
          <w:color w:val="auto"/>
        </w:rPr>
      </w:pPr>
    </w:p>
    <w:p>
      <w:pPr>
        <w:jc w:val="both"/>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6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was US$818.1 million for the year ended December 31, 2025, compared to US$626.7 million for the year ended December 31, 2024. The change was primarily driven by increased operating income resulting from higher business volumes in 2025, partially offset by working capital requirements for operations, which primarily consisted of payments of gaming taxes and operating accruals arising from the increased business volumes.</w:t>
      </w:r>
    </w:p>
    <w:p>
      <w:pPr>
        <w:spacing w:after="0" w:line="169"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was US$626.7 million for the year ended December 31, 2024, compared to US$622.7 million for the year ended December 31, 2023. The change was primarily due to better performance of operations which resulted in a decrease in net loss in 2024 as described in the foregoing section, partially offset by increased working capital for operations, primarily consisted of the payment of gaming taxes as well as the operating accruals as a result of the increased business volumes.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Net cash used in investing activities was US$341.8 million for the year ended December 31, 2025, compared to US$300.8 million for the year ended December 31, 2024. The change was primarily due to the</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940"/>
          </w:cols>
          <w:pgMar w:left="320" w:top="472" w:right="6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spacing w:after="0" w:line="276" w:lineRule="auto"/>
        <w:rPr>
          <w:sz w:val="20"/>
          <w:szCs w:val="20"/>
          <w:color w:val="auto"/>
        </w:rPr>
      </w:pPr>
      <w:r>
        <w:rPr>
          <w:rFonts w:ascii="Times New Roman" w:cs="Times New Roman" w:eastAsia="Times New Roman" w:hAnsi="Times New Roman"/>
          <w:sz w:val="17"/>
          <w:szCs w:val="17"/>
          <w:color w:val="auto"/>
        </w:rPr>
        <w:t>increase in acquisition of property and equipment and payments for capitalized construction costs, partially offset by decrease in payments for intangible and other assets. Net cash used in investing activities for the year ended December 31, 2025 mainly included acquisition of property and equipment and payments for capitalized construction costs of US$323.1 million and payments for intangible and other assets of US$18.9 million.</w:t>
      </w:r>
    </w:p>
    <w:p>
      <w:pPr>
        <w:spacing w:after="0" w:line="162"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Net cash used in investing activities was US$300.8 million for the year ended December 31, 2024, compared to US$48.5 million for the year ended December 31, 2023. The change was primarily due to the repayment of loan to an affiliated company during the year ended December 31, 2023 which was not recurring in 2024. Net cash used in investing activities for the year ended December 31, 2024 mainly included acquisition of property and equipment and payments for capitalized construction costs of US$261.9 million and payments for intangible and other assets of US$39.2 million.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payments for capitalized construction costs and acquisition of property and equipment were US$323.1 million and</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US$261.9 million for the years ended December 31, 2025 and 2024, respectively. Such expenditures were mainly associated with our development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projects, as well as enhancement of our integrated resort offerings.</w:t>
      </w:r>
    </w:p>
    <w:p>
      <w:pPr>
        <w:spacing w:after="0" w:line="205"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We expect to incur significant capital expenditures for the ongoing enhancement and maintenance of our properties. We intend to finance these projects through our operating cash flow and existing cash balances as well as equity or debt financings. See “— Other Financing and Liquidity Matters” below for more information.</w:t>
      </w:r>
    </w:p>
    <w:p>
      <w:pPr>
        <w:spacing w:after="0" w:line="162" w:lineRule="exact"/>
        <w:rPr>
          <w:sz w:val="20"/>
          <w:szCs w:val="20"/>
          <w:color w:val="auto"/>
        </w:rPr>
      </w:pPr>
    </w:p>
    <w:p>
      <w:pPr>
        <w:ind w:left="300" w:right="26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our capital expenditures incurred by segment on an accrual basis for the years ended December 31, 2025, 2024 and 2023.</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Borders>
              <w:bottom w:val="single" w:sz="8" w:color="auto"/>
            </w:tcBorders>
          </w:tcPr>
          <w:p>
            <w:pPr>
              <w:jc w:val="right"/>
              <w:ind w:right="12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bottom w:val="single" w:sz="8" w:color="auto"/>
            </w:tcBorders>
            <w:gridSpan w:val="2"/>
          </w:tcPr>
          <w:p>
            <w:pPr>
              <w:jc w:val="center"/>
              <w:ind w:left="398"/>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2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$162,672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$ 83,988</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22,259</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Studio City</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69,498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86,071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73,452</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3,892</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Mocha and Other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6,549</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24,970</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11,815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108,214</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Other Operations</w:t>
            </w:r>
            <w:r>
              <w:rPr>
                <w:rFonts w:ascii="Times New Roman" w:cs="Times New Roman" w:eastAsia="Times New Roman" w:hAnsi="Times New Roman"/>
                <w:sz w:val="24"/>
                <w:szCs w:val="24"/>
                <w:color w:val="auto"/>
                <w:vertAlign w:val="superscript"/>
              </w:rPr>
              <w:t>(1)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1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5,411</w:t>
            </w:r>
          </w:p>
        </w:tc>
        <w:tc>
          <w:tcPr>
            <w:tcW w:w="5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343,190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243,481</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252,490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w:t>
      </w:r>
    </w:p>
    <w:p>
      <w:pPr>
        <w:spacing w:after="0" w:line="32" w:lineRule="exact"/>
        <w:rPr>
          <w:sz w:val="20"/>
          <w:szCs w:val="20"/>
          <w:color w:val="auto"/>
        </w:rPr>
      </w:pPr>
    </w:p>
    <w:p>
      <w:pPr>
        <w:ind w:left="720" w:right="120" w:hanging="428"/>
        <w:spacing w:after="0" w:line="265" w:lineRule="auto"/>
        <w:tabs>
          <w:tab w:leader="none" w:pos="7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August 1, 2025, the initial opening of Sri Lanka Casino, the operations in Sri Lanka including the provision of management services to Nüwa Sri Lanka effective from its opening on July 15, 2025, which were previously reported under the Corporate and Other category, has been included in the Other Operations segment for the years ended December 31, 2025 and 2024.</w:t>
      </w:r>
    </w:p>
    <w:p>
      <w:pPr>
        <w:spacing w:after="0" w:line="171"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Our capital expenditures for the year ended December 31, 2025 increased from that for the year ended December 31, 2024 was primarily due to the enhancements to City of Dreams and completion of the fit-out of the Sri Lanka Casino under Other Operations. Our capital expenditures for the year ended December 31, 2024 slightly decreased from that for the year ended December 31, 2023 was primarily due to the completion of City of Dreams Mediterranean in 2023, partially offset by increased capital expenditures for enhancements to our Macau properties and the fit-out of the Sri Lanka Casino under Other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2" w:lineRule="exact"/>
        <w:rPr>
          <w:sz w:val="20"/>
          <w:szCs w:val="20"/>
          <w:color w:val="auto"/>
        </w:rPr>
      </w:pPr>
    </w:p>
    <w:p>
      <w:pPr>
        <w:ind w:left="300" w:right="740" w:firstLine="960"/>
        <w:spacing w:after="0" w:line="295" w:lineRule="auto"/>
        <w:rPr>
          <w:sz w:val="20"/>
          <w:szCs w:val="20"/>
          <w:color w:val="auto"/>
        </w:rPr>
      </w:pPr>
      <w:r>
        <w:rPr>
          <w:rFonts w:ascii="Times New Roman" w:cs="Times New Roman" w:eastAsia="Times New Roman" w:hAnsi="Times New Roman"/>
          <w:sz w:val="17"/>
          <w:szCs w:val="17"/>
          <w:color w:val="auto"/>
        </w:rPr>
        <w:t>Net cash used in financing activities of US$603.1 million for the year ended December 31, 2025 was primarily due to (i) the full redemption of the aggregate principal amount outstanding of US$1.00 billion of the</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940"/>
          </w:cols>
          <w:pgMar w:left="320" w:top="472" w:right="6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2025 MRF Senior Notes, (ii) redemption of the remaining aggregated principal amount outstanding of US$357.9 million of the 2026 MRF Senior Notes,</w:t>
      </w:r>
    </w:p>
    <w:p>
      <w:pPr>
        <w:spacing w:after="0" w:line="32" w:lineRule="exact"/>
        <w:rPr>
          <w:sz w:val="20"/>
          <w:szCs w:val="20"/>
          <w:color w:val="auto"/>
        </w:rPr>
      </w:pPr>
    </w:p>
    <w:p>
      <w:pPr>
        <w:ind w:left="300" w:hanging="8"/>
        <w:spacing w:after="0" w:line="256" w:lineRule="auto"/>
        <w:tabs>
          <w:tab w:leader="none" w:pos="60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repayments of aggregate principal amount outstanding of the MN1 2020 Revolving Facilities of US$280.5 million, (iv) redemption of the remaining aggregated principal amount outstanding of US$221.6 million of the 2025 SCF Senior Notes, (v) repurchase of shares of US$166.0 million,</w:t>
      </w:r>
    </w:p>
    <w:p>
      <w:pPr>
        <w:spacing w:after="0" w:line="1" w:lineRule="exact"/>
        <w:rPr>
          <w:rFonts w:ascii="Times New Roman" w:cs="Times New Roman" w:eastAsia="Times New Roman" w:hAnsi="Times New Roman"/>
          <w:sz w:val="17"/>
          <w:szCs w:val="17"/>
          <w:color w:val="auto"/>
        </w:rPr>
      </w:pPr>
    </w:p>
    <w:p>
      <w:pPr>
        <w:ind w:left="300" w:right="220" w:hanging="8"/>
        <w:spacing w:after="0" w:line="260" w:lineRule="auto"/>
        <w:tabs>
          <w:tab w:leader="none" w:pos="59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of the 2026 MRF Senior Notes for an aggregate principal amount outstanding of US$142.1 million and (vii) repayments of aggregate principal amount outstanding of the SCC 2024 Revolving Facilities of US$91.8 million, which were offset in part by (viii) the proceeds from the drawdown of the MN1 2020 Revolving Facilities of US$1.00 billion, (ix) the proceeds from the issuance of 2033 MRF Senior Notes of US$500.0 million, (x) the proceeds from the drawdown of the SCC 2024 Revolving Facilities of US$140.6 million and (xi) the proceeds from the drawdown of the SCC 2021 Credit Facilities of US$29.7 million.</w:t>
      </w:r>
    </w:p>
    <w:p>
      <w:pPr>
        <w:spacing w:after="0" w:line="178" w:lineRule="exact"/>
        <w:rPr>
          <w:sz w:val="20"/>
          <w:szCs w:val="20"/>
          <w:color w:val="auto"/>
        </w:rPr>
      </w:pPr>
    </w:p>
    <w:p>
      <w:pPr>
        <w:ind w:left="300" w:firstLine="960"/>
        <w:spacing w:after="0" w:line="267" w:lineRule="auto"/>
        <w:rPr>
          <w:sz w:val="20"/>
          <w:szCs w:val="20"/>
          <w:color w:val="auto"/>
        </w:rPr>
      </w:pPr>
      <w:r>
        <w:rPr>
          <w:rFonts w:ascii="Times New Roman" w:cs="Times New Roman" w:eastAsia="Times New Roman" w:hAnsi="Times New Roman"/>
          <w:sz w:val="17"/>
          <w:szCs w:val="17"/>
          <w:color w:val="auto"/>
        </w:rPr>
        <w:t>Net cash used in financing activities of US$478.3 million for the year ended December 31, 2024 was primarily due to (i) the repayments of aggregate principal amount outstanding of the MN1 2020 Revolving Facilities of US$994.2 million, (ii) repurchase of shares of US$112.3 million,</w:t>
      </w:r>
    </w:p>
    <w:p>
      <w:pPr>
        <w:spacing w:after="0" w:line="1" w:lineRule="exact"/>
        <w:rPr>
          <w:sz w:val="20"/>
          <w:szCs w:val="20"/>
          <w:color w:val="auto"/>
        </w:rPr>
      </w:pPr>
    </w:p>
    <w:p>
      <w:pPr>
        <w:ind w:left="300" w:right="40" w:hanging="8"/>
        <w:spacing w:after="0" w:line="256" w:lineRule="auto"/>
        <w:tabs>
          <w:tab w:leader="none" w:pos="60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the 2025 SCF Senior Notes Tender Offer (2024) in an aggregate principal amount of US$100.0 million, (iv) repurchase of 2025 SCF Senior Notes in an aggregate principal amount of US$75.3 million and (v) payments of financing costs of US$37.0 million, which were offset in part by</w:t>
      </w:r>
    </w:p>
    <w:p>
      <w:pPr>
        <w:spacing w:after="0" w:line="1" w:lineRule="exact"/>
        <w:rPr>
          <w:rFonts w:ascii="Times New Roman" w:cs="Times New Roman" w:eastAsia="Times New Roman" w:hAnsi="Times New Roman"/>
          <w:sz w:val="17"/>
          <w:szCs w:val="17"/>
          <w:color w:val="auto"/>
        </w:rPr>
      </w:pPr>
    </w:p>
    <w:p>
      <w:pPr>
        <w:ind w:left="300" w:right="560" w:hanging="8"/>
        <w:spacing w:after="0" w:line="273" w:lineRule="auto"/>
        <w:tabs>
          <w:tab w:leader="none" w:pos="59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from the issuance of 2032 MRF Senior Notes of US$750.0 million and (vii) the proceeds from the drawdown of the MN1 2020 Revolving Facilities of US$100.3 million.</w:t>
      </w:r>
    </w:p>
    <w:p>
      <w:pPr>
        <w:spacing w:after="0" w:line="164"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Net cash used in financing activities of US$1.13 billion for the year ended December 31, 2023 was primarily due to (i) the repayments of aggregate principal amount outstanding of the MN1 2020 Revolving Facilities of US$2.10 billion, (ii) settlement of the 2025 SCF Senior Notes Tender Offer (2023) in an aggregate principal amount of US$97.5 million and (iii) repurchase of shares of US$169.8 million, which were offset in part by (iv) the proceeds from the drawdown of the MN1 2020 Revolving Facilities of US$1.25 billion.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20"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We enter into loan facilities and issue notes through our subsidiaries. The following table presents a summary of our gross indebtedness as of December 31, 2025:</w:t>
      </w:r>
    </w:p>
    <w:p>
      <w:pPr>
        <w:spacing w:after="0" w:line="15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8"/>
        </w:trPr>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r>
      <w:tr>
        <w:trPr>
          <w:trHeight w:val="137"/>
        </w:trPr>
        <w:tc>
          <w:tcPr>
            <w:tcW w:w="3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8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w w:val="99"/>
              </w:rPr>
              <w:t>(in thousands of US$)</w:t>
            </w:r>
          </w:p>
        </w:tc>
        <w:tc>
          <w:tcPr>
            <w:tcW w:w="40" w:type="dxa"/>
            <w:vAlign w:val="bottom"/>
          </w:tcPr>
          <w:p>
            <w:pPr>
              <w:spacing w:after="0"/>
              <w:rPr>
                <w:sz w:val="11"/>
                <w:szCs w:val="11"/>
                <w:color w:val="auto"/>
              </w:rPr>
            </w:pPr>
          </w:p>
        </w:tc>
      </w:tr>
      <w:tr>
        <w:trPr>
          <w:trHeight w:val="20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MRF Senior Notes</w:t>
            </w:r>
          </w:p>
        </w:tc>
        <w:tc>
          <w:tcPr>
            <w:tcW w:w="21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1,150,000</w:t>
            </w:r>
          </w:p>
        </w:tc>
      </w:tr>
      <w:tr>
        <w:trPr>
          <w:trHeight w:val="20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SCF Senior Notes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1,100,000</w:t>
            </w:r>
          </w:p>
        </w:tc>
      </w:tr>
      <w:tr>
        <w:trPr>
          <w:trHeight w:val="20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MN1 2020 Revolving Facilities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886,625</w:t>
            </w:r>
          </w:p>
        </w:tc>
      </w:tr>
      <w:tr>
        <w:trPr>
          <w:trHeight w:val="20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MRF Senior Notes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850,000</w:t>
            </w:r>
          </w:p>
        </w:tc>
      </w:tr>
      <w:tr>
        <w:trPr>
          <w:trHeight w:val="20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2032</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MRF Senior Notes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750,000</w:t>
            </w:r>
          </w:p>
        </w:tc>
      </w:tr>
      <w:tr>
        <w:trPr>
          <w:trHeight w:val="20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MRF Senior Notes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600,000</w:t>
            </w:r>
          </w:p>
        </w:tc>
      </w:tr>
      <w:tr>
        <w:trPr>
          <w:trHeight w:val="20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2033</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MRF Senior Notes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r>
      <w:tr>
        <w:trPr>
          <w:trHeight w:val="20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SCF Senior Notes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r>
      <w:tr>
        <w:trPr>
          <w:trHeight w:val="20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SCC Senior Secured Notes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350,000</w:t>
            </w:r>
          </w:p>
        </w:tc>
      </w:tr>
      <w:tr>
        <w:trPr>
          <w:trHeight w:val="209"/>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SCC 2024 Revolving Facilities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49,992</w:t>
            </w:r>
          </w:p>
        </w:tc>
      </w:tr>
      <w:tr>
        <w:trPr>
          <w:trHeight w:val="20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SCC 2021 Credit Facilities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30,073</w:t>
            </w:r>
          </w:p>
        </w:tc>
      </w:tr>
      <w:tr>
        <w:trPr>
          <w:trHeight w:val="215"/>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MRM 2015 Credit Facilities</w:t>
            </w:r>
          </w:p>
        </w:tc>
        <w:tc>
          <w:tcPr>
            <w:tcW w:w="1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40" w:type="dxa"/>
            <w:vAlign w:val="bottom"/>
          </w:tcPr>
          <w:p>
            <w:pPr>
              <w:spacing w:after="0"/>
              <w:rPr>
                <w:sz w:val="18"/>
                <w:szCs w:val="18"/>
                <w:color w:val="auto"/>
              </w:rPr>
            </w:pPr>
          </w:p>
        </w:tc>
      </w:tr>
      <w:tr>
        <w:trPr>
          <w:trHeight w:val="209"/>
        </w:trPr>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6,766,819</w:t>
            </w:r>
          </w:p>
        </w:tc>
      </w:tr>
      <w:tr>
        <w:trPr>
          <w:trHeight w:val="20"/>
        </w:trPr>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Major changes in our indebtedness during the year ended and subsequent to December 31, 2025 are summarized below.</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940"/>
          </w:cols>
          <w:pgMar w:left="320" w:top="472" w:right="6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700" w:firstLine="960"/>
        <w:spacing w:after="0" w:line="295" w:lineRule="auto"/>
        <w:rPr>
          <w:sz w:val="20"/>
          <w:szCs w:val="20"/>
          <w:color w:val="auto"/>
        </w:rPr>
      </w:pPr>
      <w:r>
        <w:rPr>
          <w:rFonts w:ascii="Times New Roman" w:cs="Times New Roman" w:eastAsia="Times New Roman" w:hAnsi="Times New Roman"/>
          <w:sz w:val="17"/>
          <w:szCs w:val="17"/>
          <w:color w:val="auto"/>
        </w:rPr>
        <w:t>During the year ended December 31, 2025, MCO Nominee One drew down HK$5.67 billion (equivalent to US$719.9 million) in aggregate principal amount on a net basis under the MN1 2020 Revolving Facilities.</w:t>
      </w:r>
    </w:p>
    <w:p>
      <w:pPr>
        <w:spacing w:after="0" w:line="147"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2025, Studio City Company drew down HK$233.0 million (equivalent to US$29.7 million) and HK$389.0 billion (equivalent to US$48.8 million) in aggregate principal amount on a net basis under the SCC 2021 Credit Facilities and the SCC 2024 Revolving Facilities, respectively.</w:t>
      </w:r>
    </w:p>
    <w:p>
      <w:pPr>
        <w:spacing w:after="0" w:line="16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On February 25, 2025, pursuant to the MN1 2024 Amendment and Restatement under the MN1 2020 Revolving Facilities, an incremental facility of HK$387.5 million (equivalent to US$49.8 million) was established to increase the available commitments under the MN1 2020 Revolving Facilities from HK$14.85 billion (equivalent to US$1.91 billion) to HK$15.24 billion (equivalent to US$1.96 billion), subject to satisfaction of certain conditions precedent.</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On June 6, 2025, Melco Resorts Finance redeemed the aggregate principal amount outstanding of US$1.00 billion of the 2025 MRF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Senior Notes.</w:t>
      </w:r>
    </w:p>
    <w:p>
      <w:pPr>
        <w:spacing w:after="0" w:line="205" w:lineRule="exact"/>
        <w:rPr>
          <w:sz w:val="20"/>
          <w:szCs w:val="20"/>
          <w:color w:val="auto"/>
        </w:rPr>
      </w:pPr>
    </w:p>
    <w:p>
      <w:pPr>
        <w:ind w:left="300" w:right="560" w:firstLine="960"/>
        <w:spacing w:after="0" w:line="295" w:lineRule="auto"/>
        <w:rPr>
          <w:sz w:val="20"/>
          <w:szCs w:val="20"/>
          <w:color w:val="auto"/>
        </w:rPr>
      </w:pPr>
      <w:r>
        <w:rPr>
          <w:rFonts w:ascii="Times New Roman" w:cs="Times New Roman" w:eastAsia="Times New Roman" w:hAnsi="Times New Roman"/>
          <w:sz w:val="17"/>
          <w:szCs w:val="17"/>
          <w:color w:val="auto"/>
        </w:rPr>
        <w:t>In June 2025, MCO Nominee One entered into interest rate swap arrangements with aggregate notional amount of HK$5.88 billion (equivalent to US$755.7 million) to manage interest rate risk on the loans drawn under the MN1 2020 Revolving Facilities.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On July 15, 2025, Studio City Finance redeemed the aggregate principal amount outstanding of US$221.6 million of the 2025 SCF Senior</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205"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On September 24, 2025, Melco Resorts Finance issued US$500.0 million in an aggregate principal amount of the 2033 MRF Senior Notes. The proceeds were used to settle the 2026 MRF Senior Notes Tender Offer and early redemption of the 2026 MRF Senior Notes. US$142.1 million in an aggregate principal amount of the 2026 MRF Senior Notes tendered in the 2026 MRF Senior Notes Tender Offer was settled on September 24, 2025, while the remaining aggregate principal amount outstanding of US$357.9 million of the 2026 MRF Senior Notes following the completion of the 2026 MRF Senior Notes Tender Offer was redeemed on October 25, 2025.</w:t>
      </w:r>
    </w:p>
    <w:p>
      <w:pPr>
        <w:spacing w:after="0" w:line="171"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During the period from January 1, 2026 through March 6, 2026, MCO Nominee One repaid additional HK$467.0 million (equivalent to US$59.8 million) in aggregate principal amount outstanding under the MN1 2020 Revolving Facilities, together with accrued interest.</w:t>
      </w:r>
    </w:p>
    <w:p>
      <w:pPr>
        <w:spacing w:after="0" w:line="147"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For further details of the above indebtedness, see note 10 to the consolidated financial statements included elsewhere in this annual report, which includes information regarding the type of debt facilities used, the extent to which borrowings are at fixed rates,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interest rate risk and foreign exchange risk exposure.</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Financing and Liquidity Matters</w:t>
      </w:r>
    </w:p>
    <w:p>
      <w:pPr>
        <w:spacing w:after="0" w:line="120"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We may obtain financing in the form of, among other things, equity or debt, including additional bank loans or high yield, mezzanine or other debt, or rely on our operating cash flow to fund the maintenance, enhancement and development of our projects. We expect to have significant capital expenditures in the future as we continue to maintain, enhance and develop our properties in Macau, the Philippines, Cyprus and Sri Lanka as well as pursue potential growth opportunities in existing and new jurisdictions.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0960"/>
          </w:cols>
          <w:pgMar w:left="320" w:top="472" w:right="6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We have relied, and intend in the future to rely, on our operating cash flow and different forms of financing to meet our funding needs and repay our indebtedness, as the case may be.</w:t>
      </w:r>
    </w:p>
    <w:p>
      <w:pPr>
        <w:spacing w:after="0" w:line="147"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operations and expansion plans. Such activities may include refinancing existing debt, monetizing assets, sale-and-leaseback transactions or other similar activities.</w:t>
      </w:r>
    </w:p>
    <w:p>
      <w:pPr>
        <w:spacing w:after="0" w:line="169"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Our material cash requirements arise from the development and continuous enhancement of our Macau properties, City of Dreams Manila and City of Dreams Mediterranean, as well as the payment of interest expenses and repayment of principal relating to our indebtedness. We are also required to comply with the investment plan which forms part of the gaming concession contract in Macau in the amount of MOP11,823.7 million (equivalent to approximately US$1.48 billion), of which MOP10,008.0 million (equivalent to approximately US$1.25 billion) is to be invested in non-gaming projects per the terms of the concession contract, and incremental additional non-gaming investment in the amount of approximately 20% of our initial non-gaming investment, or MOP2,003.0 million (equivalent to approximately US$249.9 million), in the event the Incremental Investment Trigger is triggered. As Macau’s annual gross gaming revenue exceeded MOP180.0 billion (equivalent to approximately US$22.46 billion) in 2023, the Incremental Investment Trigger was triggered in 2023, thereby increasing our non-gaming investment by MOP2,003.0 million (equivalent to approximately US$249.9 million), with the overall investment amount increased to MOP13,826.7 million (equivalent to approximately US$1.73 billion) to be carried out by December 2032. As of December 31, 2025, the total investment in gaming and non-gaming related projects carried out was in the aggregate amount of MOP5,724.2 million (equivalent to approximately US$714.2 million).</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Cash from financings and operations is primarily retained by our operating subsidiaries for the purposes of funding our operating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activities, capital expenditures and investing activities. Cash from financing and operations within our group is primarily transferred between our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subsidiaries through intercompany loan arrangements or equity capital contributions. In 2025, excluding cash transferred for the purpose of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settlement of intragroup charges for operating activities, cash transferred to our holding company, Melco Resorts, from its subsidiaries for repayment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advances amounted to US$2.9 million, while cash transferred from our holding company to its subsidiaries in the form of advances amounted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US$19.7 million. Dividend payments of US$20.0 million were received from our Macau operating subsidiary in 2025, and no dividend payments were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made to our shareholders in 2025, including holders of our ordinary shares with an address of record known to us to be in the United States (which</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includes all holders of our ADSs, which are traded on Nasdaq in the United States). See also “Item 4. Information on the Company — B. Business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Overview — Tax” and “Item 8. Financial Information — A. Consolidated Statements and Other Financial Information — Dividend Policy.” There are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regulatory or foreign exchange restrictions or limitations on our ability to transfer cash within our corporate group, or to declare dividends to holders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our ADSs, except that Melco Resorts Macau must notify the Chief Executive of Macau five business days in advance of any decision related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distribution in an amount greater than MOP500 million (equivalent to approximately US$62.4 million), seek Macau government consent to</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grant or receive any loan in the amount of MOP100 million (equivalent to approximately US$12.5 million) and our subsidiaries incorporated in Macau</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are required to set aside a specified amount of the entity’s profit after tax as a legal reserve which is not distributable to the shareholders of such</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subsidiaries and authorization is required in the Philippines for inward and outward transfers of Philippine pesos above a certain amount. See “Item 4.</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Information on the Company — B. Business Overview — Regulations — Macau Regulations — Restrictions on Distribution of Profits Regulations”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and “Item 10. Additional Information — D. Exchange Controls.”</w:t>
      </w:r>
    </w:p>
    <w:p>
      <w:pPr>
        <w:spacing w:after="0" w:line="205"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2025, we had capital commitments mainly for the construction and acquisition of property and equipment for Studio City and City of Dreams totaling US$88.4 million. In addition, we have contingent liabilities arising in the ordinary course of business. For further details for our commitments and contingencies, see note 20 to the consolidated financial statements included elsewhere in this annual report.</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920"/>
          </w:cols>
          <w:pgMar w:left="320" w:top="472" w:right="6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long-term indebtedness and other contractual obligations as of December 31, 2025 are summarized below.</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w w:val="99"/>
              </w:rPr>
              <w:t>Payments Due by Period</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More</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0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3-5 years</w:t>
            </w:r>
          </w:p>
        </w:tc>
        <w:tc>
          <w:tcPr>
            <w:tcW w:w="100" w:type="dxa"/>
            <w:vAlign w:val="bottom"/>
          </w:tcPr>
          <w:p>
            <w:pPr>
              <w:spacing w:after="0"/>
              <w:rPr>
                <w:sz w:val="12"/>
                <w:szCs w:val="12"/>
                <w:color w:val="auto"/>
              </w:rPr>
            </w:pPr>
          </w:p>
        </w:tc>
        <w:tc>
          <w:tcPr>
            <w:tcW w:w="7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than</w:t>
            </w:r>
          </w:p>
        </w:tc>
        <w:tc>
          <w:tcPr>
            <w:tcW w:w="18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 US$)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Long-term debt obligations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b w:val="1"/>
                <w:bCs w:val="1"/>
                <w:i w:val="1"/>
                <w:i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2029 MRF Senior Notes</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 SCF Senior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1,100.0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MN1 2020 Revolving Facilities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886.6</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886.6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MRF Senior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2032 MRF Senior Notes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750.0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 MRF Senior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2033 MRF Senior Notes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500.0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SCF Senior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2027 SCC Senior Secured Notes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350.0</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SCC 2024 Revolving Facilities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SCC 2021 Credit Facilities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MRM 2015 Credit Facilities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Fixed interest payments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544.5</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238.9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Variable interest payments</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21.0</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Finance leases</w:t>
            </w:r>
            <w:r>
              <w:rPr>
                <w:rFonts w:ascii="Times New Roman" w:cs="Times New Roman" w:eastAsia="Times New Roman" w:hAnsi="Times New Roman"/>
                <w:sz w:val="24"/>
                <w:szCs w:val="24"/>
                <w:b w:val="1"/>
                <w:bCs w:val="1"/>
                <w:i w:val="1"/>
                <w:iCs w:val="1"/>
                <w:color w:val="auto"/>
                <w:vertAlign w:val="superscript"/>
              </w:rPr>
              <w:t>(3)</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70.6</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89.2</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Operating leases</w:t>
            </w:r>
            <w:r>
              <w:rPr>
                <w:rFonts w:ascii="Times New Roman" w:cs="Times New Roman" w:eastAsia="Times New Roman" w:hAnsi="Times New Roman"/>
                <w:sz w:val="24"/>
                <w:szCs w:val="24"/>
                <w:b w:val="1"/>
                <w:bCs w:val="1"/>
                <w:color w:val="auto"/>
                <w:vertAlign w:val="superscript"/>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33.3</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156.7</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Construction costs and property and equipment retention payables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contractual commitments: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costs and property and equipment acquisition commitments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0.3</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Gaming concession premium, license fee and related annual levy</w:t>
            </w:r>
            <w:r>
              <w:rPr>
                <w:rFonts w:ascii="Times New Roman" w:cs="Times New Roman" w:eastAsia="Times New Roman" w:hAnsi="Times New Roman"/>
                <w:sz w:val="24"/>
                <w:szCs w:val="24"/>
                <w:color w:val="auto"/>
                <w:vertAlign w:val="superscript"/>
              </w:rPr>
              <w:t>(4)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55.8</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194.8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Reversion Assets payments</w:t>
            </w:r>
            <w:r>
              <w:rPr>
                <w:rFonts w:ascii="Times New Roman" w:cs="Times New Roman" w:eastAsia="Times New Roman" w:hAnsi="Times New Roman"/>
                <w:sz w:val="24"/>
                <w:szCs w:val="24"/>
                <w:color w:val="auto"/>
                <w:vertAlign w:val="superscript"/>
              </w:rPr>
              <w:t>(5)</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48.1</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48.1</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590.9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3,966.2</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2,774.3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7"/>
              </w:rPr>
              <w:t>1,901.8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9,233.2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31" w:lineRule="exact"/>
        <w:rPr>
          <w:sz w:val="20"/>
          <w:szCs w:val="20"/>
          <w:color w:val="auto"/>
        </w:rPr>
      </w:pPr>
    </w:p>
    <w:p>
      <w:pPr>
        <w:ind w:left="720" w:hanging="428"/>
        <w:spacing w:after="0"/>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10 to the consolidated financial statements included elsewhere in this annual report for further details on these debt facilities.</w:t>
      </w:r>
    </w:p>
    <w:p>
      <w:pPr>
        <w:spacing w:after="0" w:line="131" w:lineRule="exact"/>
        <w:rPr>
          <w:rFonts w:ascii="Times New Roman" w:cs="Times New Roman" w:eastAsia="Times New Roman" w:hAnsi="Times New Roman"/>
          <w:sz w:val="17"/>
          <w:szCs w:val="17"/>
          <w:color w:val="auto"/>
        </w:rPr>
      </w:pPr>
    </w:p>
    <w:p>
      <w:pPr>
        <w:ind w:left="720" w:right="600" w:hanging="428"/>
        <w:spacing w:after="0" w:line="295" w:lineRule="auto"/>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for all periods represent our estimated interest payments on our debt facilities based upon amounts outstanding and HIBOR as of December 31, 2025 plus the applicable interest rate spread in accordance with the respective debt agreements. Actual rates will vary.</w:t>
      </w:r>
    </w:p>
    <w:p>
      <w:pPr>
        <w:spacing w:after="0" w:line="55"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11 to the consolidated financial statements included elsewhere in this annual report for further details on these lease liabilities.</w:t>
      </w:r>
    </w:p>
    <w:p>
      <w:pPr>
        <w:spacing w:after="0" w:line="131" w:lineRule="exact"/>
        <w:rPr>
          <w:rFonts w:ascii="Times New Roman" w:cs="Times New Roman" w:eastAsia="Times New Roman" w:hAnsi="Times New Roman"/>
          <w:sz w:val="17"/>
          <w:szCs w:val="17"/>
          <w:color w:val="auto"/>
        </w:rPr>
      </w:pPr>
    </w:p>
    <w:p>
      <w:pPr>
        <w:ind w:left="720" w:right="20" w:hanging="428"/>
        <w:spacing w:after="0" w:line="266" w:lineRule="auto"/>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annual premium with a fixed portion and a variable portion based on the number and type of gaming tables and machines that Melco Resorts Macau is currently approved to operate by the Macau government for our gaming concession in Macau; ii) annual fixed license fee for the Cyprus License and (iii) annual fixed levy for the Sri Lanka License. The variable gaming tax for our gaming concession in Macau and the Cyprus License; the variable levy for the Sri Lanka License; and the license fee for the Philippine License as disclosed in note 20(b) to the consolidated financial statements included elsewhere in this annual report are not included in this table.</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960"/>
          </w:cols>
          <w:pgMar w:left="320" w:top="472" w:right="6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720" w:hanging="428"/>
        <w:spacing w:after="0" w:line="263" w:lineRule="auto"/>
        <w:tabs>
          <w:tab w:leader="none" w:pos="7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gaming and gaming support areas of the City of Dreams Casino, the Altira Casino and the Studio City Casino with an area of 31,227.3 square meters, 17,128.8 square meters and 28,784.3 square meters, respectively, and related gaming equipment and utensils (collectively referred to as the “Reversion Assets”) are currently owned by the Macau government. Effective January 1, 2023, the Macau government has transferred the Reversion Assets to us for usage in our operations during the duration of the Concession Contract for a fee of MOP750.00 (equivalent to US$94) per square meter for years 1 to 3 of the Concession Contract, subject to consumer price index increase in years 2 and 3 of the concession. The fee will increase to MOP2,500.00 (equivalent to US$312) per square meter for years 4 to 10 of the concession, subject to consumer price index increase in years 5 to 10 of the concession.</w:t>
      </w:r>
    </w:p>
    <w:p>
      <w:pPr>
        <w:spacing w:after="0" w:line="81" w:lineRule="exact"/>
        <w:rPr>
          <w:rFonts w:ascii="Times New Roman" w:cs="Times New Roman" w:eastAsia="Times New Roman" w:hAnsi="Times New Roman"/>
          <w:sz w:val="17"/>
          <w:szCs w:val="17"/>
          <w:color w:val="auto"/>
        </w:rPr>
      </w:pPr>
    </w:p>
    <w:p>
      <w:pPr>
        <w:ind w:left="720" w:right="60" w:hanging="428"/>
        <w:spacing w:after="0" w:line="259" w:lineRule="auto"/>
        <w:tabs>
          <w:tab w:leader="none" w:pos="7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amounts included in the table above, in connection with the Concession Contract, Melco Resorts Macau committed to an overall investment of MOP11,823.7 million (equivalent to US$1.48 billion) and incremental additional non-gaming investment in the amount of approximately 20% of its initial non-gaming investment, or MOP2,003.0 million (equivalent to US$249.9 million), in the event Macau’s annual gross gaming revenue reaches MOP180.0 billion (equivalent to US$22.46 billion). As Macau’s annual gross gaming revenue exceeded MOP180.0 billion (equivalent to US$22.46 billion) in 2023, the Incremental Investment Trigger was reached and, the non-gaming investment to be carried out was increased by MOP2,003.0 million (equivalent to US$249.9 million) to MOP12.01 billion (equivalent to US$1.50 billion), with the overall investment amount increased to MOP13,826.7 million (equivalent to US$1.73 billion) to be carried out by December 2032. As of December 31, 2025, the total investment in gaming and non-gaming related projects carried out was in the aggregate amount of</w:t>
      </w:r>
    </w:p>
    <w:p>
      <w:pPr>
        <w:spacing w:after="0" w:line="3"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MOP5,724.2 million (equivalent to US$714.2 million).</w:t>
      </w:r>
    </w:p>
    <w:p>
      <w:pPr>
        <w:spacing w:after="0" w:line="205"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62" w:lineRule="exact"/>
        <w:rPr>
          <w:sz w:val="20"/>
          <w:szCs w:val="20"/>
          <w:color w:val="auto"/>
        </w:rPr>
      </w:pPr>
    </w:p>
    <w:p>
      <w:pPr>
        <w:jc w:val="both"/>
        <w:ind w:left="300" w:right="460" w:firstLine="960"/>
        <w:spacing w:after="0" w:line="276" w:lineRule="auto"/>
        <w:rPr>
          <w:sz w:val="20"/>
          <w:szCs w:val="20"/>
          <w:color w:val="auto"/>
        </w:rPr>
      </w:pPr>
      <w:r>
        <w:rPr>
          <w:rFonts w:ascii="Times New Roman" w:cs="Times New Roman" w:eastAsia="Times New Roman" w:hAnsi="Times New Roman"/>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62" w:lineRule="exact"/>
        <w:rPr>
          <w:sz w:val="20"/>
          <w:szCs w:val="20"/>
          <w:color w:val="auto"/>
        </w:rPr>
      </w:pPr>
    </w:p>
    <w:p>
      <w:pPr>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Each of Melco Resorts Macau and Studio City Company has a corporate rating of “BB-” and “B+” with a stable outlook by Standard &amp; Poor’s, respectively, and each of Melco Resorts Finance and Studio City Finance has a corporate rating of “Ba3” and “B1” with a stable outlook by Moody’s Investors Service, respectively. For future borrowings, any decrease in our corporate rating could result in an increase in borrowing costs.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Restrictions on Distributions</w:t>
      </w:r>
    </w:p>
    <w:p>
      <w:pPr>
        <w:spacing w:after="0" w:line="120"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For discussion on the ability of our subsidiaries to transfer funds to our Company in the form of cash dividends, loans or advances and the impact such restrictions have on our ability to meet our cash obligations, see “Item 4. Information on the Company — B. Business Overview — Regulations — Macau Regulations — Restrictions on Distribution of Profits Regulations.” See also “Item 8. Financial Information — A. Consolidated Statements and Other Financial Information — Dividend Policy” and note 18 to the consolidated financial statements included elsewhere in this annual report.</w:t>
      </w:r>
    </w:p>
    <w:p>
      <w:pPr>
        <w:spacing w:after="0" w:line="3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C. RESEARCH AND DEVELOPMENT, PATENTS AND LICENSES, ETC.</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entered into license or hotel management agreements with the following entities or groups:</w:t>
      </w:r>
    </w:p>
    <w:p>
      <w:pPr>
        <w:spacing w:after="0" w:line="131" w:lineRule="exact"/>
        <w:rPr>
          <w:sz w:val="20"/>
          <w:szCs w:val="20"/>
          <w:color w:val="auto"/>
        </w:rPr>
      </w:pPr>
    </w:p>
    <w:p>
      <w:pPr>
        <w:ind w:left="5500" w:hanging="4790"/>
        <w:spacing w:after="0" w:line="472" w:lineRule="auto"/>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Hyatt group in relation to the use of various trademarks owned by Hyatt group for the branding of the Grand Hyatt hotel at City of Dreams; 147</w:t>
      </w:r>
    </w:p>
    <w:p>
      <w:pPr>
        <w:sectPr>
          <w:pgSz w:w="11900" w:h="16838" w:orient="portrait"/>
          <w:cols w:equalWidth="0" w:num="1">
            <w:col w:w="10960"/>
          </w:cols>
          <w:pgMar w:left="320" w:top="472" w:right="6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260" w:hanging="530"/>
        <w:spacing w:after="0" w:line="295"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Hyatt International Corporation and Melco Resorts Leisure, under which various trademarks owned by Hyatt are licensed to Melco Resorts Leisure for its operation of a hotel at City of Dreams Manila;</w:t>
      </w:r>
    </w:p>
    <w:p>
      <w:pPr>
        <w:spacing w:after="0" w:line="55" w:lineRule="exact"/>
        <w:rPr>
          <w:rFonts w:ascii="Times New Roman" w:cs="Times New Roman" w:eastAsia="Times New Roman" w:hAnsi="Times New Roman"/>
          <w:sz w:val="17"/>
          <w:szCs w:val="17"/>
          <w:color w:val="auto"/>
        </w:rPr>
      </w:pPr>
    </w:p>
    <w:p>
      <w:pPr>
        <w:ind w:left="1240" w:right="300" w:hanging="530"/>
        <w:spacing w:after="0" w:line="276"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DreamWorks Animation and Melco Resorts Leisure, under which various trademarks and other intellectual property rights owned by DreamWorks Animation are licensed to Melco Resorts Leisure for its operation of DreamPlay by DreamWorks, a family entertainment center at City of Dreams Manila;</w:t>
      </w:r>
    </w:p>
    <w:p>
      <w:pPr>
        <w:spacing w:after="0" w:line="70" w:lineRule="exact"/>
        <w:rPr>
          <w:rFonts w:ascii="Times New Roman" w:cs="Times New Roman" w:eastAsia="Times New Roman" w:hAnsi="Times New Roman"/>
          <w:sz w:val="17"/>
          <w:szCs w:val="17"/>
          <w:color w:val="auto"/>
        </w:rPr>
      </w:pPr>
    </w:p>
    <w:p>
      <w:pPr>
        <w:ind w:left="1240" w:right="740" w:hanging="530"/>
        <w:spacing w:after="0" w:line="295"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 International group in relation to the use of its various trademarks for the operation of a W-branded hotel by the Marriot International group at Studio City;</w:t>
      </w:r>
    </w:p>
    <w:p>
      <w:pPr>
        <w:spacing w:after="0" w:line="55" w:lineRule="exact"/>
        <w:rPr>
          <w:rFonts w:ascii="Times New Roman" w:cs="Times New Roman" w:eastAsia="Times New Roman" w:hAnsi="Times New Roman"/>
          <w:sz w:val="17"/>
          <w:szCs w:val="17"/>
          <w:color w:val="auto"/>
        </w:rPr>
      </w:pPr>
    </w:p>
    <w:p>
      <w:pPr>
        <w:ind w:left="1240" w:right="220" w:hanging="530"/>
        <w:spacing w:after="0" w:line="295"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Waterfront Properties in relation to the management by MCO Europe Holdings Three (NL) B.V. of the top five floors of City of Dreams Sri Lanka under our Nüwa brand;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Waterfront Properties in relation to the licensing of our brand “City of Dreams Sri Lanka” for City of Dreams Sri Lanka.</w:t>
      </w:r>
    </w:p>
    <w:p>
      <w:pPr>
        <w:spacing w:after="0" w:line="223"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In addition, we also purchase gaming tables and gaming machines and enter into licensing agreements for the use of certain trademarks and trade 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w:t>
      </w:r>
    </w:p>
    <w:p>
      <w:pPr>
        <w:spacing w:after="0" w:line="1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trends and uncertainties may affect our operations and financial conditions:</w:t>
      </w:r>
    </w:p>
    <w:p>
      <w:pPr>
        <w:spacing w:after="0" w:line="131" w:lineRule="exact"/>
        <w:rPr>
          <w:sz w:val="20"/>
          <w:szCs w:val="20"/>
          <w:color w:val="auto"/>
        </w:rPr>
      </w:pPr>
    </w:p>
    <w:p>
      <w:pPr>
        <w:ind w:left="1240" w:right="40" w:hanging="530"/>
        <w:spacing w:after="0" w:line="264"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legislations and campaigns implemented by the PRC government, including restrictions on travel, anti-corruption campaigns, monitoring of cross-border currency movement and adoption of measures to eliminate perceived channels of illicit cross-border currency movements, restrictions on currency withdrawal, scrutiny of marketing activities in China or measures taken by the PRC government, including criminalization of certain conduct, to deter marketing of gaming activities to mainland China residents by foreign casinos, slowdown of economic growth in China, travel and visa policies, may lead to a decline and limit the recovery and growth in the number of patrons visiting our properties and the spending amount of such patrons;</w:t>
      </w:r>
    </w:p>
    <w:p>
      <w:pPr>
        <w:spacing w:after="0" w:line="82" w:lineRule="exact"/>
        <w:rPr>
          <w:rFonts w:ascii="Times New Roman" w:cs="Times New Roman" w:eastAsia="Times New Roman" w:hAnsi="Times New Roman"/>
          <w:sz w:val="17"/>
          <w:szCs w:val="17"/>
          <w:color w:val="auto"/>
        </w:rPr>
      </w:pPr>
    </w:p>
    <w:p>
      <w:pPr>
        <w:ind w:left="1240" w:right="20" w:hanging="530"/>
        <w:spacing w:after="0" w:line="269"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gaming and leisure market in Macau and the Philippines are developing and the competitive landscapes are expected to evolve as more gaming and non-gaming facilities are developed in the regions where our properties are located. More supply of such facilities in the Cotai region of Macau and in Entertainment City of the Philippines will intensify the competition in the business that we operate. Our business in Cyprus operates in a relatively new gaming market and the market landscape is expected to be more volatile and unpredictable;</w:t>
      </w:r>
    </w:p>
    <w:p>
      <w:pPr>
        <w:spacing w:after="0" w:line="77" w:lineRule="exact"/>
        <w:rPr>
          <w:rFonts w:ascii="Times New Roman" w:cs="Times New Roman" w:eastAsia="Times New Roman" w:hAnsi="Times New Roman"/>
          <w:sz w:val="17"/>
          <w:szCs w:val="17"/>
          <w:color w:val="auto"/>
        </w:rPr>
      </w:pPr>
    </w:p>
    <w:p>
      <w:pPr>
        <w:ind w:left="1240" w:right="160" w:hanging="530"/>
        <w:spacing w:after="0" w:line="276"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new policies and legislation implemented by the Philippine government, including potential additional licensing requirements and potential tax legislation subjecting our Philippine subsidiaries to Philippines corporate income tax, value-added tax and other tax assessments in addition to the license fees paid to PAGCOR pursuant to the Philippine License;</w:t>
      </w:r>
    </w:p>
    <w:p>
      <w:pPr>
        <w:spacing w:after="0" w:line="70" w:lineRule="exact"/>
        <w:rPr>
          <w:rFonts w:ascii="Times New Roman" w:cs="Times New Roman" w:eastAsia="Times New Roman" w:hAnsi="Times New Roman"/>
          <w:sz w:val="17"/>
          <w:szCs w:val="17"/>
          <w:color w:val="auto"/>
        </w:rPr>
      </w:pPr>
    </w:p>
    <w:p>
      <w:pPr>
        <w:ind w:left="1240" w:right="140" w:hanging="530"/>
        <w:spacing w:after="0" w:line="269"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940"/>
          </w:cols>
          <w:pgMar w:left="320" w:top="472" w:right="6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spacing w:after="0" w:line="295" w:lineRule="auto"/>
        <w:rPr>
          <w:sz w:val="20"/>
          <w:szCs w:val="20"/>
          <w:color w:val="auto"/>
        </w:rPr>
      </w:pPr>
      <w:r>
        <w:rPr>
          <w:rFonts w:ascii="Times New Roman" w:cs="Times New Roman" w:eastAsia="Times New Roman" w:hAnsi="Times New Roman"/>
          <w:sz w:val="17"/>
          <w:szCs w:val="17"/>
          <w:color w:val="auto"/>
        </w:rPr>
        <w:t>compliance costs and any potential non- compliances of such laws and regulations could have an adverse effect on our reputation, financial condition, results of operations or cash flows;</w:t>
      </w:r>
    </w:p>
    <w:p>
      <w:pPr>
        <w:spacing w:after="0" w:line="55" w:lineRule="exact"/>
        <w:rPr>
          <w:sz w:val="20"/>
          <w:szCs w:val="20"/>
          <w:color w:val="auto"/>
        </w:rPr>
      </w:pPr>
    </w:p>
    <w:p>
      <w:pPr>
        <w:ind w:left="1240" w:right="180" w:hanging="530"/>
        <w:spacing w:after="0" w:line="266" w:lineRule="auto"/>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Enactment of new laws, or amendments to existing laws with more stringent requirements, in relation to personal data, including, among others, collection, use and/or transmission of personal data, and as to which there may be limited precedent on their interpretation and application, may increase operating costs and/or adversely impact our ability to market to our customers and guests. In addition, any non-compliance with such laws may result in damage to our reputation and/or subject us to lawsuits, fines and other penalties as well as restrictions on our use or transfer of data; and</w:t>
      </w:r>
    </w:p>
    <w:p>
      <w:pPr>
        <w:spacing w:after="0" w:line="79" w:lineRule="exact"/>
        <w:rPr>
          <w:rFonts w:ascii="Times New Roman" w:cs="Times New Roman" w:eastAsia="Times New Roman" w:hAnsi="Times New Roman"/>
          <w:sz w:val="17"/>
          <w:szCs w:val="17"/>
          <w:color w:val="auto"/>
        </w:rPr>
      </w:pPr>
    </w:p>
    <w:p>
      <w:pPr>
        <w:ind w:left="1240" w:right="260" w:hanging="530"/>
        <w:spacing w:after="0" w:line="276" w:lineRule="auto"/>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w:t>
      </w:r>
    </w:p>
    <w:p>
      <w:pPr>
        <w:spacing w:after="0" w:line="162" w:lineRule="exact"/>
        <w:rPr>
          <w:sz w:val="20"/>
          <w:szCs w:val="20"/>
          <w:color w:val="auto"/>
        </w:rPr>
      </w:pPr>
    </w:p>
    <w:p>
      <w:pPr>
        <w:jc w:val="both"/>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3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E. CRITICAL ACCOUNTING ESTIMATES</w:t>
      </w:r>
    </w:p>
    <w:p>
      <w:pPr>
        <w:spacing w:after="0" w:line="225"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applies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As of December 31, 2025 and 2024, we had net property and equipment of US$5.16 billion and US$5.27 billion, representing 67.9% and 66.0% of our total assets respectively. Property and equipment are stated at cost, net of accumulated depreciation and amortization, and accumulated impairment, if any. We depreciate property and equipment on a straight-line basis over their estimated useful lives. The useful lives are estimated based on factors including the nature of the assets, its relationship to other assets, our operating plans and anticipated use and other economic and legal factors that impose limits. The remaining estimated useful lives of the property and equipment are periodically reviewed. Refer to note 2(i) to the consolidated financial statements included elsewhere in this annual report for further details of estimated useful lives of the property and equipment.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 Intangible assets and Goodwill</w:t>
      </w:r>
    </w:p>
    <w:p>
      <w:pPr>
        <w:spacing w:after="0" w:line="122"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We evaluate our property and equipment and other long-lived assets for impairment whenever indicators of impairment exist. If an indicator of impairment exists, we first group our assets with other assets and liabilities at the lowest level for which identifiable cash flows are largely independent of the cash flows of other assets and liabilities (the “asset group”). Secondly, we estimate the undiscounted future cash flows over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0940"/>
          </w:cols>
          <w:pgMar w:left="320" w:top="472" w:right="6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0"/>
        <w:spacing w:after="0" w:line="263" w:lineRule="auto"/>
        <w:rPr>
          <w:sz w:val="20"/>
          <w:szCs w:val="20"/>
          <w:color w:val="auto"/>
        </w:rPr>
      </w:pPr>
      <w:r>
        <w:rPr>
          <w:rFonts w:ascii="Times New Roman" w:cs="Times New Roman" w:eastAsia="Times New Roman" w:hAnsi="Times New Roman"/>
          <w:sz w:val="17"/>
          <w:szCs w:val="17"/>
          <w:color w:val="auto"/>
        </w:rPr>
        <w:t>remaining useful life of the primary asset within the asset group which involves significant assumptions, including future revenue growth rates and cost inflation. The future cash flows are derived based on management historical experience and market condition which are consistent with our budget and strategic plan. If the sum of undiscounted cash flows exceeds the carrying value, no impairment is indicated. If the sum of undiscounted cash flows does not exceed the carrying value, then an impairment is measured based on fair value compared to carrying value, with fair value typically based on a discounted cash flow model involving significant assumptions, such as discount rates. If an asset is still under development, future cash flows include remaining construction costs. Future changes to our estimates and assumptions based upon changes in operating results, macro-economic factors or management’s intentions may result in future changes to the recoverability of our asset groups.</w:t>
      </w:r>
    </w:p>
    <w:p>
      <w:pPr>
        <w:spacing w:after="0" w:line="173" w:lineRule="exact"/>
        <w:rPr>
          <w:sz w:val="20"/>
          <w:szCs w:val="20"/>
          <w:color w:val="auto"/>
        </w:rPr>
      </w:pPr>
    </w:p>
    <w:p>
      <w:pPr>
        <w:ind w:left="300" w:right="100" w:firstLine="960"/>
        <w:spacing w:after="0" w:line="263" w:lineRule="auto"/>
        <w:rPr>
          <w:sz w:val="20"/>
          <w:szCs w:val="20"/>
          <w:color w:val="auto"/>
        </w:rPr>
      </w:pPr>
      <w:r>
        <w:rPr>
          <w:rFonts w:ascii="Times New Roman" w:cs="Times New Roman" w:eastAsia="Times New Roman" w:hAnsi="Times New Roman"/>
          <w:sz w:val="17"/>
          <w:szCs w:val="17"/>
          <w:color w:val="auto"/>
        </w:rPr>
        <w:t>We review the carrying value of goodwill and intangible assets with indefinite useful lives for impairment at least on an annual basis or whenever events or changes in circumstances indicate that the carrying value may not be recoverable. Goodwill and intangible assets with indefinite useful lives as of December 31, 2025 and 2024 was associated with Mocha Clubs, a reporting unit, which arose from the acquisition of Mocha Slot Group Limited and its subsidiaries by our Company in 2006. When performing the impairment analysis for goodwill and intangible assets with indefinite lives, we will first perform a qualitative assessment to determine whether it is necessary to perform a quantitative impairment test. If the qualitative factors indicate that the carrying amount of the reporting unit is more likely than not to exceed the fair value, then a quantitative impairment test is performed. No impairment of goodwill was recognized during the year ended December 31, 2024 and 2023.</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To perform quantitative impairment test of goodwill, we perform an assessment that consists of a comparison of the carrying value of a reporting unit with its fair value. If the carrying value of the reporting unit exceeds its fair value, we will recognize an impairment for the amount by which the carrying value exceeds the reporting unit’s fair value, limited to the total amount of goodwill allocated to that reporting unit. We determine the fair value of our reporting unit based on income approach through the application of discounted cash flow method. The future cash flows of the reporting unit involve significant assumptions, including future revenue growth rates and cost inflation. The future cash flows are derived based on management historical experience and market condition which are consistent with our budget and strategic plan. For the impairment test of Mocha Clubs as a reporting unit, the rates used to discount the cash flow are 13.2% and 10.5% for the years ended December 31, 2025 and 2024 respectively. To perform quantitative impairment test of the trademarks of Mocha Clubs, discounted cash flow approach is adopted which is based on relief-from-royalty method. If the fair value of an indefinite-lived intangible asset is less than its carrying amount, an impairment loss is recognized equal to the difference. Future changes to our estimates and assumptions based upon changes in operating results, macro-economic factors or management’s intentions may result in future changes to the fair value of the reporting unit and trademarks.</w:t>
      </w:r>
    </w:p>
    <w:p>
      <w:pPr>
        <w:spacing w:after="0" w:line="180"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Effective from June 9, 2025, the date which the Company announced the development of Mocha Clubs, the estimated useful lives of the Mocha Clubs trademarks were changed from indefinite useful lives to finite useful lives. Accordingly, the carrying amount is amortized on a straight-line basis over the remaining period of the Concession and the projection period of Mocha Clubs’ future cash flow is also adjusted to the end of the Concession period for impairment testing. During the year ended December 31, 2025, as a result of three Mocha Clubs ceasing operations between the period from September to December 2025, the Company recognized an impairment of goodwill in relation to the Mocha and Other segment of US$57.9 million.</w:t>
      </w:r>
    </w:p>
    <w:p>
      <w:pPr>
        <w:spacing w:after="0" w:line="173" w:lineRule="exact"/>
        <w:rPr>
          <w:sz w:val="20"/>
          <w:szCs w:val="20"/>
          <w:color w:val="auto"/>
        </w:rPr>
      </w:pPr>
    </w:p>
    <w:p>
      <w:pPr>
        <w:jc w:val="both"/>
        <w:ind w:left="300" w:right="260" w:firstLine="96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with the market value of Altira Macau significantly decreased as a result of a change in its forecasted performance given the latest market conditions and lingering disruptions to the business caused by COVID-19 and our earlier cessation of arrangements with gaming promoters in Macau, we recognized an impairment of long-lived assets in relation to Altira Macau of US$207.6 million.</w:t>
      </w:r>
    </w:p>
    <w:p>
      <w:pPr>
        <w:ind w:left="300" w:right="380"/>
        <w:spacing w:after="0" w:line="265" w:lineRule="auto"/>
        <w:rPr>
          <w:sz w:val="20"/>
          <w:szCs w:val="20"/>
          <w:color w:val="auto"/>
        </w:rPr>
      </w:pPr>
      <w:r>
        <w:rPr>
          <w:rFonts w:ascii="Times New Roman" w:cs="Times New Roman" w:eastAsia="Times New Roman" w:hAnsi="Times New Roman"/>
          <w:sz w:val="17"/>
          <w:szCs w:val="17"/>
          <w:color w:val="auto"/>
        </w:rPr>
        <w:t>Such amount included the impairment of Altira Macau’s property and equipment of US$110.0 million, and the full impairment of the finite-lived intangible assets, land use rights and operating lease right-of-use assets for Altira Macau of US$30.4 million, US$65.2 million and US$2.0 million, respectively.</w:t>
      </w:r>
    </w:p>
    <w:p>
      <w:pPr>
        <w:spacing w:after="0" w:line="1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0940"/>
          </w:cols>
          <w:pgMar w:left="320" w:top="472" w:right="6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right="120"/>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2025 and 2024, the performance of Altira Macau had not improved and a further impairment of long-lived assets of US$4.1 million and US$3.3 million were recognized respectively. The fair values of the long-lived assets of Altira Macau were estimated based on a combination of income and cost approaches and the discount rates adopted in income approach for the years ended December 31, 2025, 2024 and 2023 were 14.0%, 12.6% and 12.3% respectively.</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Allowances for credit losses</w:t>
      </w:r>
    </w:p>
    <w:p>
      <w:pPr>
        <w:spacing w:after="0" w:line="12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our Company to concentration of credit risk consist principally of casino accounts receivable. We issue credit pursuant to gaming credit facilities entered into with casino customers following a review of their creditworthiness. Credit is/can be also given to gaming promoters in the Philippines and Cyprus. These receivables can be offset against commissions payable and any other payments due by us to customers and gaming promoters.</w:t>
      </w:r>
    </w:p>
    <w:p>
      <w:pPr>
        <w:spacing w:after="0" w:line="169" w:lineRule="exact"/>
        <w:rPr>
          <w:sz w:val="20"/>
          <w:szCs w:val="20"/>
          <w:color w:val="auto"/>
        </w:rPr>
      </w:pPr>
    </w:p>
    <w:p>
      <w:pPr>
        <w:ind w:left="300" w:right="400" w:firstLine="960"/>
        <w:spacing w:after="0" w:line="269" w:lineRule="auto"/>
        <w:rPr>
          <w:sz w:val="20"/>
          <w:szCs w:val="20"/>
          <w:color w:val="auto"/>
        </w:rPr>
      </w:pPr>
      <w:r>
        <w:rPr>
          <w:rFonts w:ascii="Times New Roman" w:cs="Times New Roman" w:eastAsia="Times New Roman" w:hAnsi="Times New Roman"/>
          <w:sz w:val="17"/>
          <w:szCs w:val="17"/>
          <w:color w:val="auto"/>
        </w:rPr>
        <w:t>As of December 31, 2025 and 2024, a substantial portion of our markers issued pursuant to gaming credit facilities were due from customers residing in various countries and from licensed gaming promoters. Business and economic conditions, the legal enforceability of gaming debts, foreign currency control measures or other significant circumstances in these countries could affect the collectability of receivables from customers and gaming promoters.</w:t>
      </w:r>
    </w:p>
    <w:p>
      <w:pPr>
        <w:spacing w:after="0" w:line="169"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Accounts receivable, including casino,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our receivables to their carrying amounts and reflects the net amount the Company expects to collect. The allowance for credit losses is estimated based on our specific reviews of the age of the balances owed, the customers’ financial condition, management’s experience with the collection trends of customers, current business and economic conditions, and management’s expectations of future business and economic conditions.</w:t>
      </w:r>
    </w:p>
    <w:p>
      <w:pPr>
        <w:spacing w:after="0" w:line="173" w:lineRule="exact"/>
        <w:rPr>
          <w:sz w:val="20"/>
          <w:szCs w:val="20"/>
          <w:color w:val="auto"/>
        </w:rPr>
      </w:pPr>
    </w:p>
    <w:p>
      <w:pPr>
        <w:jc w:val="both"/>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2025 and 2024, the Company’s allowances for casino credit losses were 49.9% and 48.2% of gross casino accounts receivable, respectively. As of December 31, 2025 and 2024, a 100 basis-point change in the estimated allowances for credit losses as a percentage of casino receivables would change the allowances for credit losses by approximately US$2.4 million and US$2.7 million respectively.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Income Tax</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2025 and 2024, we recorded valuation allowances of US$472.5 million and US$477.8 million, respectively, as management believes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Litigation and Contingency Estimates</w:t>
      </w:r>
    </w:p>
    <w:p>
      <w:pPr>
        <w:spacing w:after="0" w:line="122" w:lineRule="exact"/>
        <w:rPr>
          <w:sz w:val="20"/>
          <w:szCs w:val="20"/>
          <w:color w:val="auto"/>
        </w:rPr>
      </w:pPr>
    </w:p>
    <w:p>
      <w:pPr>
        <w:jc w:val="both"/>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We are subject to certain legal proceedings which relate to matters arising out of the Company’s ordinary course of business. We estimate the accruals for the claims of these legal proceedings based on all relevant facts and circumstances currently available and will recognize these claims as liabilities when it is determined such contingencies are both probable and reasonably estimable.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960"/>
          </w:cols>
          <w:pgMar w:left="320" w:top="472" w:right="6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Estimates</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1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860"/>
          </w:cols>
          <w:pgMar w:left="320" w:top="472" w:right="7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5"/>
        </w:trPr>
        <w:tc>
          <w:tcPr>
            <w:tcW w:w="29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3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240" w:type="dxa"/>
            <w:vAlign w:val="bottom"/>
            <w:tcBorders>
              <w:top w:val="single" w:sz="8" w:color="0000EE"/>
            </w:tcBorders>
          </w:tcPr>
          <w:p>
            <w:pPr>
              <w:spacing w:after="0"/>
              <w:rPr>
                <w:sz w:val="24"/>
                <w:szCs w:val="24"/>
                <w:color w:val="auto"/>
              </w:rPr>
            </w:pPr>
          </w:p>
        </w:tc>
        <w:tc>
          <w:tcPr>
            <w:tcW w:w="964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DIRECTORS, SENIOR MANAGEMENT AND EMPLOYEES</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 DIRECTORS AND SENIOR MANAGEMENT</w:t>
            </w: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8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as of the date of this annual report on Form 20-F.</w:t>
            </w:r>
          </w:p>
        </w:tc>
        <w:tc>
          <w:tcPr>
            <w:tcW w:w="0" w:type="dxa"/>
            <w:vAlign w:val="bottom"/>
          </w:tcPr>
          <w:p>
            <w:pPr>
              <w:spacing w:after="0"/>
              <w:rPr>
                <w:sz w:val="1"/>
                <w:szCs w:val="1"/>
                <w:color w:val="auto"/>
              </w:rPr>
            </w:pPr>
          </w:p>
        </w:tc>
      </w:tr>
      <w:tr>
        <w:trPr>
          <w:trHeight w:val="379"/>
        </w:trPr>
        <w:tc>
          <w:tcPr>
            <w:tcW w:w="3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 w:type="dxa"/>
            <w:vAlign w:val="bottom"/>
          </w:tcPr>
          <w:p>
            <w:pPr>
              <w:spacing w:after="0"/>
              <w:rPr>
                <w:sz w:val="24"/>
                <w:szCs w:val="24"/>
                <w:color w:val="auto"/>
              </w:rPr>
            </w:pPr>
          </w:p>
        </w:tc>
        <w:tc>
          <w:tcPr>
            <w:tcW w:w="704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 w:type="dxa"/>
            <w:vAlign w:val="bottom"/>
          </w:tcPr>
          <w:p>
            <w:pPr>
              <w:spacing w:after="0"/>
              <w:rPr>
                <w:sz w:val="15"/>
                <w:szCs w:val="15"/>
                <w:color w:val="auto"/>
              </w:rPr>
            </w:pPr>
          </w:p>
        </w:tc>
        <w:tc>
          <w:tcPr>
            <w:tcW w:w="2640" w:type="dxa"/>
            <w:vAlign w:val="bottom"/>
            <w:gridSpan w:val="4"/>
          </w:tcPr>
          <w:p>
            <w:pPr>
              <w:spacing w:after="0" w:line="177" w:lineRule="exact"/>
              <w:rPr>
                <w:sz w:val="20"/>
                <w:szCs w:val="20"/>
                <w:color w:val="auto"/>
              </w:rPr>
            </w:pPr>
            <w:r>
              <w:rPr>
                <w:rFonts w:ascii="Times New Roman" w:cs="Times New Roman" w:eastAsia="Times New Roman" w:hAnsi="Times New Roman"/>
                <w:sz w:val="17"/>
                <w:szCs w:val="17"/>
                <w:color w:val="auto"/>
              </w:rPr>
              <w:t>Lawrence Yau Lung Ho</w:t>
            </w:r>
          </w:p>
        </w:tc>
        <w:tc>
          <w:tcPr>
            <w:tcW w:w="560" w:type="dxa"/>
            <w:vAlign w:val="bottom"/>
          </w:tcPr>
          <w:p>
            <w:pPr>
              <w:ind w:left="400"/>
              <w:spacing w:after="0" w:line="177" w:lineRule="exact"/>
              <w:rPr>
                <w:sz w:val="20"/>
                <w:szCs w:val="20"/>
                <w:color w:val="auto"/>
              </w:rPr>
            </w:pPr>
            <w:r>
              <w:rPr>
                <w:rFonts w:ascii="Times New Roman" w:cs="Times New Roman" w:eastAsia="Times New Roman" w:hAnsi="Times New Roman"/>
                <w:sz w:val="17"/>
                <w:szCs w:val="17"/>
                <w:color w:val="auto"/>
                <w:w w:val="82"/>
              </w:rPr>
              <w:t>49</w:t>
            </w:r>
          </w:p>
        </w:tc>
        <w:tc>
          <w:tcPr>
            <w:tcW w:w="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04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Chairman, chief executive officer and director</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Clarence Yuk Man Chung</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63</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Evan Andrew Winkler</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51</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President and director</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Alec Yiu Wa Tsui</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76</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Independent non-executive director, chair of the nominating and corporate governance committee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and a member of each of the audit and risk committee, the compensation committee and the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environmental sustainability and corporate social responsibility committee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Thomas Jefferson Wu</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53</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Independent non-executive director, chair of the compensation committee and a member of each of</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the audit and risk committee, the nominating and corporate governance committee and the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environmental sustainability and corporate social responsibility committee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John Peter Ben Wang</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65</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Independent non-executive director, chair of the audit and risk committee and a member of each of</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the nominating and corporate governance committee, the compensation committee and the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environmental sustainability and corporate social responsibility committee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Francesca Galante</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50</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Independent non-executive director, chair of the environmental sustainability and corporate social</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responsibility committee and a member of each of the audit and risk committee, the nominating and</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corporate governance committee and the compensation committee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Geoffrey Stuart Davis</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57</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Graham Paul Winter</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61</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Executive vice president and chief legal officer</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Akiko Takahashi</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72</w:t>
            </w:r>
          </w:p>
        </w:tc>
        <w:tc>
          <w:tcPr>
            <w:tcW w:w="73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Executive vice president and chief of staff to Chairman and chief executive officer</w:t>
            </w:r>
          </w:p>
        </w:tc>
        <w:tc>
          <w:tcPr>
            <w:tcW w:w="0" w:type="dxa"/>
            <w:vAlign w:val="bottom"/>
          </w:tcPr>
          <w:p>
            <w:pPr>
              <w:spacing w:after="0"/>
              <w:rPr>
                <w:sz w:val="1"/>
                <w:szCs w:val="1"/>
                <w:color w:val="auto"/>
              </w:rPr>
            </w:pPr>
          </w:p>
        </w:tc>
      </w:tr>
    </w:tbl>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16" w:lineRule="exact"/>
        <w:rPr>
          <w:sz w:val="20"/>
          <w:szCs w:val="20"/>
          <w:color w:val="auto"/>
        </w:rPr>
      </w:pPr>
    </w:p>
    <w:p>
      <w:pPr>
        <w:ind w:left="300" w:right="100" w:firstLine="9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Lawrence Yau Lung Ho </w:t>
      </w:r>
      <w:r>
        <w:rPr>
          <w:rFonts w:ascii="Times New Roman" w:cs="Times New Roman" w:eastAsia="Times New Roman" w:hAnsi="Times New Roman"/>
          <w:sz w:val="17"/>
          <w:szCs w:val="17"/>
          <w:color w:val="auto"/>
        </w:rPr>
        <w:t>was appointed as our director on December 20, 2004 and served as our co-chairman and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between December 2004 and April 2016 before being re-designated as chairman and chief executive officer in May 2016. Mr. Ho became the managing director of Melco International in 2001 and has been its chairman and chief executive officer since March 2006. In addition, Mr. Ho has been a director of SCI since July 2011. Mr. Ho was the chairman and director of Maple Peak Investments Inc., a company listed on the TSX Venture Exchange in Canada, from July 2016 to January 2026.</w:t>
      </w:r>
    </w:p>
    <w:p>
      <w:pPr>
        <w:spacing w:after="0" w:line="171"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As a member of the National Committee of the Chinese People’s Political Consultative Conference, Mr. Ho serves on the board or participates as a committee member in various organizations in China. He is a member of the advisory committee of the All-China Federation of Industry and Commerce; a member of the Macau Basic Law Promotion Association; a member of the Board of Governors of The Canadian Chamber of Commerce in Hong Kong; a member of the Asia International Leadership Council; honorary advisor of Global Tourism Economy Research Centre; permanent honorary committee member of The Chinese General Chamber of Commerce of Hong Kong; honorary patron of The Canadian Chamber of Commerce in Macao; honorary president of the Macau Research Association for Macau Gaming Law; honorary president of the Association of Property Agents and Real Estate Developers of Macau; a director executive of the Macao Chinese General</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960"/>
          </w:cols>
          <w:pgMar w:left="320" w:top="467" w:right="6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4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675" cy="54610"/>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Chamber of Commerce and honorary president of the Association of Youth Practitioners in Macao Integrated Tourism and Leisure Enterprises.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2017, Mr. Ho was awarded the Medal of Merit-Tourism by the Macau SAR government for his significant contributions to tourism in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territory.</w:t>
      </w:r>
    </w:p>
    <w:p>
      <w:pPr>
        <w:spacing w:after="0" w:line="205" w:lineRule="exact"/>
        <w:rPr>
          <w:sz w:val="20"/>
          <w:szCs w:val="20"/>
          <w:color w:val="auto"/>
        </w:rPr>
      </w:pPr>
    </w:p>
    <w:p>
      <w:pPr>
        <w:ind w:left="300" w:right="60" w:firstLine="960"/>
        <w:spacing w:after="0" w:line="271" w:lineRule="auto"/>
        <w:rPr>
          <w:sz w:val="20"/>
          <w:szCs w:val="20"/>
          <w:color w:val="auto"/>
        </w:rPr>
      </w:pPr>
      <w:r>
        <w:rPr>
          <w:rFonts w:ascii="Times New Roman" w:cs="Times New Roman" w:eastAsia="Times New Roman" w:hAnsi="Times New Roman"/>
          <w:sz w:val="17"/>
          <w:szCs w:val="17"/>
          <w:color w:val="auto"/>
        </w:rPr>
        <w:t>In recognition of Mr. Ho’s directorship and entrepreneurial spirit, he was granted the Business Awards of Macau’s “Leadership Gold Award” in 2015 and honored with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year in 2025.</w:t>
      </w:r>
    </w:p>
    <w:p>
      <w:pPr>
        <w:spacing w:after="0" w:line="46"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China.</w:t>
      </w:r>
    </w:p>
    <w:p>
      <w:pPr>
        <w:spacing w:after="0" w:line="158"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Clarence Yuk Man Chung </w:t>
      </w:r>
      <w:r>
        <w:rPr>
          <w:rFonts w:ascii="Times New Roman" w:cs="Times New Roman" w:eastAsia="Times New Roman" w:hAnsi="Times New Roman"/>
          <w:sz w:val="17"/>
          <w:szCs w:val="17"/>
          <w:color w:val="auto"/>
        </w:rPr>
        <w:t>was appointed as our director on November 21, 2006. Mr. Chung has also been an executive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Melco International since May 2006, which he joined in December 2003. In addition, Mr. Chung has been the chairman and president of MRP since December 2012, a director of SCI since October 2018 and has also been appointed as a director of certain of Melco International’s subsidiaries and our subsidiaries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75" w:lineRule="exact"/>
        <w:rPr>
          <w:sz w:val="20"/>
          <w:szCs w:val="20"/>
          <w:color w:val="auto"/>
        </w:rPr>
      </w:pPr>
    </w:p>
    <w:p>
      <w:pPr>
        <w:ind w:left="300" w:right="24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Evan Andrew Winkler </w:t>
      </w:r>
      <w:r>
        <w:rPr>
          <w:rFonts w:ascii="Times New Roman" w:cs="Times New Roman" w:eastAsia="Times New Roman" w:hAnsi="Times New Roman"/>
          <w:sz w:val="17"/>
          <w:szCs w:val="17"/>
          <w:color w:val="auto"/>
        </w:rPr>
        <w:t>was appointed as our director on August 3, 2016 and also our president on September 4, 2019. Mr. Winkler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joined Melco International as the managing director in August 2016 and has assumed the role of the president and managing director of Melco International since May 2018, and has also been a director of SCI since August 2016. Mr. Winkler has also been appointed as a director of various subsidiaries of Melco International.</w:t>
      </w:r>
    </w:p>
    <w:p>
      <w:pPr>
        <w:spacing w:after="0" w:line="167"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65"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Alec Yiu Wa Tsui </w:t>
      </w:r>
      <w:r>
        <w:rPr>
          <w:rFonts w:ascii="Times New Roman" w:cs="Times New Roman" w:eastAsia="Times New Roman" w:hAnsi="Times New Roman"/>
          <w:sz w:val="17"/>
          <w:szCs w:val="17"/>
          <w:color w:val="auto"/>
        </w:rPr>
        <w:t>was appointed as an independent non-executive director on December 18, 2006. Mr. Tsui is the chairman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nominating and corporate governance committee and a member of our audit and risk committee, compensation committee and environmental sustainability and corporate social responsibility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During his tenure at the HKSE, Mr. Tsui was in charge of the finance and accounting functions. Mr. Tsui was the chairman of the Hong Kong Securities Institute from 2001 to 2004 and a consultant of the Shenzhen Stock Exchange from July 2001 to June 2002. Mr. Tsui was an independent</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900"/>
          </w:cols>
          <w:pgMar w:left="320" w:top="472" w:right="6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7"/>
          <w:szCs w:val="17"/>
          <w:color w:val="auto"/>
        </w:rPr>
        <w:t>non-executive director of China Blue Chemical Limited from April 2006 to June 2012, China Chengtong Development Group Limited from March 2003 to November 2013, China Power International Development Limited from March 2004 to December 2016 and China Oilfield Services Limited from June 2009 to June 2015, all of which are listed on the HKSE. Mr. Tsui has been a director of Industrial and Commercial Bank of China (Asia) Limited since August 2000. Mr. Tsui is also an independent non-executive director of a number of companies listed on the HKSE and Nasdaq, including COSCO Shipping International (Hong Kong) Co., Ltd. since 2004, Pacific Online Limited since 2007, Hua Medicine since September 2018, Brii Biosciences Limited since July 2021, Summit Ascent Holdings Limited from March 2011 to September 2018, Kangda International Environmental Company Limited from July 2014 to April 2019, DTXS Silk Road Investment Holdings Company Limited from December 2015 to May 2020 and ATA Creativity Global from January 2008 to February 2026. In addition, due to his long experience as an executive supervising finance and accounting functions, and extensive knowledge and expertise in internal controls and procedures for financial reporting and other matters performed by audit committees in general, Mr. Tsui also serves as a member of the audit committee on several of the companies on which he serves as a director.</w:t>
      </w:r>
    </w:p>
    <w:p>
      <w:pPr>
        <w:spacing w:after="0" w:line="174"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54"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Thomas Jefferson Wu </w:t>
      </w:r>
      <w:r>
        <w:rPr>
          <w:rFonts w:ascii="Times New Roman" w:cs="Times New Roman" w:eastAsia="Times New Roman" w:hAnsi="Times New Roman"/>
          <w:sz w:val="26"/>
          <w:szCs w:val="26"/>
          <w:b w:val="1"/>
          <w:bCs w:val="1"/>
          <w:i w:val="1"/>
          <w:iCs w:val="1"/>
          <w:color w:val="auto"/>
          <w:vertAlign w:val="subscript"/>
        </w:rPr>
        <w:t>JP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appointed as an independent non-executive director on December 18, 2006. Mr. Wu is also the chairman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compensation committee and a member of our audit and risk committee, nominating and corporate governance committee and environmental sustainability and corporate social responsibility committee. Mr. Wu was the deputy chairman and managing director of Hopewell Holdings Limited, a business conglomerate which was de-listed from the HKSE, from February 2018 to May 2019. Mr. Wu has served in various roles with the Hopewell Holdings group since 1999, including group controller from March 2000 to June 2001, executive director from June 2001 to May 2019, chief operating officer from January 2002 to August 2003, deputy managing director from August 2003 to June 2007, co-managing director from July 2007 to September 2009, managing director from October 2009 to May 2019 and deputy chairman of Hopewell Holdings Limited from February 2018 to May 2019. Mr. Wu has also been an executive director, managing director and non-executive director of Shenzhen Investment Holdings Bay Area Development Company Limited (formerly known as Hopewell Highway Infrastructure Limited), a company listed on the HKSE, from January 2003 to April 2018, from July 2003 to April 2018 and from April 2018 to May 2018, respectively.</w:t>
      </w:r>
    </w:p>
    <w:p>
      <w:pPr>
        <w:spacing w:after="0" w:line="178"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Mr. Wu graduated with high honors from Princeton University in 1994 with a Bachelor of Science degree in Mechanical and Aerospace Engineering. Mr. Wu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w:t>
      </w:r>
    </w:p>
    <w:p>
      <w:pPr>
        <w:spacing w:after="0" w:line="169" w:lineRule="exact"/>
        <w:rPr>
          <w:sz w:val="20"/>
          <w:szCs w:val="20"/>
          <w:color w:val="auto"/>
        </w:rPr>
      </w:pPr>
    </w:p>
    <w:p>
      <w:pPr>
        <w:ind w:left="300" w:right="60" w:firstLine="960"/>
        <w:spacing w:after="0" w:line="268" w:lineRule="auto"/>
        <w:rPr>
          <w:sz w:val="20"/>
          <w:szCs w:val="20"/>
          <w:color w:val="auto"/>
        </w:rPr>
      </w:pPr>
      <w:r>
        <w:rPr>
          <w:rFonts w:ascii="Times New Roman" w:cs="Times New Roman" w:eastAsia="Times New Roman" w:hAnsi="Times New Roman"/>
          <w:sz w:val="17"/>
          <w:szCs w:val="17"/>
          <w:color w:val="auto"/>
        </w:rPr>
        <w:t>Mr. Wu is active in public service in China. Mr. Wu serves in a number of advisory roles at different levels of government. In China, Mr. Wu is a member of the 13th to 14th National Committee of the Chinese People’s Political Consultative Conference and the 10th to 13th Heilongjiang Provincial Committee of the Chinese People’s Political Consultative Conference and was a Standing Committee member and a member of the Guangzhou Municipality Huadu District Committee of the Chinese People’s Political Consultative Conference, among other public service capacities.</w:t>
      </w:r>
    </w:p>
    <w:p>
      <w:pPr>
        <w:spacing w:after="0" w:line="381"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In Hong Kong, Mr. Wu’s major public service appointments include being a member of the Major Sports Events Committee of the Culture, Sports and Tourism Bureau of the Hong Kong Special Administrative Region Government (the “HKSARG”), the Convenor of the Hong Kong-ASEAN Foundation Advisory Council, a Vice Patron of the Community Chest of Hong Kong, a deputy director of Economic Affairs Committee and a member of Friends of Hong Kong Association Limited as well as Honorary Advisor of the Hong Kong Army</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0960"/>
          </w:cols>
          <w:pgMar w:left="320" w:top="472" w:right="6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3" w:lineRule="auto"/>
        <w:rPr>
          <w:sz w:val="20"/>
          <w:szCs w:val="20"/>
          <w:color w:val="auto"/>
        </w:rPr>
      </w:pPr>
      <w:r>
        <w:rPr>
          <w:rFonts w:ascii="Times New Roman" w:cs="Times New Roman" w:eastAsia="Times New Roman" w:hAnsi="Times New Roman"/>
          <w:sz w:val="17"/>
          <w:szCs w:val="17"/>
          <w:color w:val="auto"/>
        </w:rPr>
        <w:t>Cadets Association. Mr. Wu is also the Convenor of the Hong Kong-ASEAN Foundation Advisory Council and a member of the Business School Advisory Council of The Hong Kong University of Science and Technology. Previously, Mr. Wu was a council member of The Hong Kong Polytechnic University and the Hong Kong Baptist University, a member of the Court of The Hong Kong University of Science and Technology, a board member of the Asian Youth Orchestra, a member of the standing committee on Disciplined Services Salaries and Conditions of Service, a member of the Hong Kong Tourism Board of the HKSARG, a board member of The Airport Authority Hong Kong of the HKSARG, a member of the Energy Advisory Committee of the Environment Bureau of the HKSARG and a member of the Committee on Real Estate Investment Trusts of Securities and Futures Commission.</w:t>
      </w:r>
    </w:p>
    <w:p>
      <w:pPr>
        <w:spacing w:after="0" w:line="387"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In addition to his professional and public service engagements, Mr. Wu is mostly known for his passion for ice hockey, as well as the sport’s development in Hong Kong and the region. Mr. Wu is the co-founder and chairman of the Hong Kong Amateur Club and Hong Kong Academy of Ice Hockey, the chairman of the Hong Kong Ice Hockey Officials Association, as well as chairman of the LOHAS Rink Limited. Mr. Wu is also the honorary president of the Hong Kong, China Ice Hockey Association (the national sports association of ice hockey in Hong Kong), vice-chairman of Chinese Ice Hockey Association, honorary president of Macau Ice Sports Federation and honorary chairman of Ice Hockey Association of Taipei Municipal Athletics Federation. Mr. Wu served as the vice president (Asia/Oceania) of the International Ice Hockey Federation from 2012 to 2021. Mr. Wu is also the Honorary Advisor of the Curling Sports Federation of Hong Kong, China (the national sports association of curling in Hong Kong).</w:t>
      </w:r>
    </w:p>
    <w:p>
      <w:pPr>
        <w:spacing w:after="0" w:line="173" w:lineRule="exact"/>
        <w:rPr>
          <w:sz w:val="20"/>
          <w:szCs w:val="20"/>
          <w:color w:val="auto"/>
        </w:rPr>
      </w:pPr>
    </w:p>
    <w:p>
      <w:pPr>
        <w:jc w:val="both"/>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In 2006, the World Economic Forum selected Mr. Wu as a “Young Global Leader.” Mr. Wu was also awarded the “Directors of the Year Award” by the Hong Kong Institute of Directors in 2010, the “Asian Corporate Director Recognition Award” by Corporate Governance Asia in 2011, 2012 and 2013, and named the “Asia’s Best CEO (Investor Relations)” in 2012, 2013 and 2014.</w:t>
      </w:r>
    </w:p>
    <w:p>
      <w:pPr>
        <w:spacing w:after="0" w:line="158" w:lineRule="exact"/>
        <w:rPr>
          <w:sz w:val="20"/>
          <w:szCs w:val="20"/>
          <w:color w:val="auto"/>
        </w:rPr>
      </w:pPr>
    </w:p>
    <w:p>
      <w:pPr>
        <w:ind w:left="300" w:right="40" w:firstLine="96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John Peter Ben Wang </w:t>
      </w:r>
      <w:r>
        <w:rPr>
          <w:rFonts w:ascii="Times New Roman" w:cs="Times New Roman" w:eastAsia="Times New Roman" w:hAnsi="Times New Roman"/>
          <w:sz w:val="17"/>
          <w:szCs w:val="17"/>
          <w:color w:val="auto"/>
        </w:rPr>
        <w:t>was appointed as an independent non-executive director on June 13, 2025. Mr. Wang is the chairman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audit and risk committee and a member of our nominating and corporate governance committee, compensation committee and environmental sustainability and corporate social responsibility committee. Mr. Wang was the deputy chairman and executive director of Summit Ascent Holdings Limited (“Summit Ascent”), a company listed on the Stock Exchange of Hong Kong Limited (the “HKSE”), from July 2013 and March 2011, respectively, to April 2019. Prior to that, he was the chairman of Summit Ascent from March 2011 to July 2013. Mr. Wang previously held several non-executive directorships in companies listed on the HKSE. He served as a director of Melco Resorts from November 2006 to August 2016 and served as the chief financial officer of Melco International Development Limited from 2004 to 2009. Prior to joining Melco International Development Limited in 2004, he had over 19 years of professional experience in the securities and investment banking industry. He was the managing director of JS Cresvale Securities International Limited (HK) from 1998 to 2004 and prior to 1998, he worked for Deutsche Morgan Grenfell (HK), CLSA (HK), Barclays (Singapore), SG Warburg (London), Salomon Brothers (London), the London Stock Exchange and Deloitte Haskins &amp; Sells (London).</w:t>
      </w:r>
    </w:p>
    <w:p>
      <w:pPr>
        <w:spacing w:after="0" w:line="3" w:lineRule="exact"/>
        <w:rPr>
          <w:sz w:val="20"/>
          <w:szCs w:val="20"/>
          <w:color w:val="auto"/>
        </w:rPr>
      </w:pPr>
    </w:p>
    <w:p>
      <w:pPr>
        <w:ind w:left="300" w:right="580"/>
        <w:spacing w:after="0" w:line="273" w:lineRule="auto"/>
        <w:rPr>
          <w:sz w:val="20"/>
          <w:szCs w:val="20"/>
          <w:color w:val="auto"/>
        </w:rPr>
      </w:pPr>
      <w:r>
        <w:rPr>
          <w:rFonts w:ascii="Times New Roman" w:cs="Times New Roman" w:eastAsia="Times New Roman" w:hAnsi="Times New Roman"/>
          <w:sz w:val="17"/>
          <w:szCs w:val="17"/>
          <w:color w:val="auto"/>
        </w:rPr>
        <w:t>Mr. Wang qualified as a chartered accountant with the Institute of Chartered Accountants in England and Wales in 1985. He graduated from the University of Kent at Canterbury in the United Kingdom with a bachelor’s degree in accounting in July 1982.</w:t>
      </w:r>
    </w:p>
    <w:p>
      <w:pPr>
        <w:spacing w:after="0" w:line="160"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Francesca Galante </w:t>
      </w:r>
      <w:r>
        <w:rPr>
          <w:rFonts w:ascii="Times New Roman" w:cs="Times New Roman" w:eastAsia="Times New Roman" w:hAnsi="Times New Roman"/>
          <w:sz w:val="17"/>
          <w:szCs w:val="17"/>
          <w:color w:val="auto"/>
        </w:rPr>
        <w:t>was appointed as an independent non-executive director on September 5, 2018. Ms. Galante is the chairperson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environmental sustainability and corporate social responsibility committee and a member of each of our compensation committee, audit and risk committee and nominating and corporate governance committee. Ms. Galante has been the co-founder and partner of First Growth Real Estate, a specialist advisory firm focused on real estate structured debt arranging, restructuring and special servicing throughout Continental Europe since 2010. Previously, Ms. Galante was an executive director in the real estate principal finance division at UBS Investment Bank in London. Prior to that she worked at Soros Real Estate Partners and Merrill Lynch. With 20 years of real estate investment and advisory experience in both Europe and North America, Ms. Galante has extensive experience on real estate transactions in office, hotel, residential and</w:t>
      </w:r>
    </w:p>
    <w:p>
      <w:pPr>
        <w:spacing w:after="0" w:line="1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0880"/>
          </w:cols>
          <w:pgMar w:left="320" w:top="472" w:right="6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60"/>
        <w:spacing w:after="0" w:line="295" w:lineRule="auto"/>
        <w:rPr>
          <w:sz w:val="20"/>
          <w:szCs w:val="20"/>
          <w:color w:val="auto"/>
        </w:rPr>
      </w:pPr>
      <w:r>
        <w:rPr>
          <w:rFonts w:ascii="Times New Roman" w:cs="Times New Roman" w:eastAsia="Times New Roman" w:hAnsi="Times New Roman"/>
          <w:sz w:val="17"/>
          <w:szCs w:val="17"/>
          <w:color w:val="auto"/>
        </w:rPr>
        <w:t>industrial asset classes. Ms. Galante received her Master of Science in Management from the Université Paris-Dauphine and Master of Finance from Ecole Supérieure De Commerce De Paris (now ESCP Europe).</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6"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Geoffrey Stuart Davis </w:t>
      </w:r>
      <w:r>
        <w:rPr>
          <w:rFonts w:ascii="Times New Roman" w:cs="Times New Roman" w:eastAsia="Times New Roman" w:hAnsi="Times New Roman"/>
          <w:sz w:val="17"/>
          <w:szCs w:val="17"/>
          <w:color w:val="auto"/>
        </w:rPr>
        <w:t>is our executive vice president and chief financial officer and he was appointed to his current role in April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2011. Prior to that, he served as our deputy chief financial officer from August 2010 to March 2011 and our senior vice president, corporate finance since 2007, when he joined our Company. In addition, Mr. Davis has been the chief financial officer and an executive director of Melco International since December 2017 and June 2025, respectively, the chief financial officer and a director of SCI since June 2019 and October 2018, respectively, and is also a director of a number of our subsidiaries. Prior to joining us,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68" w:lineRule="exact"/>
        <w:rPr>
          <w:sz w:val="20"/>
          <w:szCs w:val="20"/>
          <w:color w:val="auto"/>
        </w:rPr>
      </w:pPr>
    </w:p>
    <w:p>
      <w:pPr>
        <w:ind w:left="300" w:right="10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Graham Paul Winter </w:t>
      </w:r>
      <w:r>
        <w:rPr>
          <w:rFonts w:ascii="Times New Roman" w:cs="Times New Roman" w:eastAsia="Times New Roman" w:hAnsi="Times New Roman"/>
          <w:sz w:val="17"/>
          <w:szCs w:val="17"/>
          <w:color w:val="auto"/>
        </w:rPr>
        <w:t>is our executive vice president and chief legal officer. He was appointed to his current role in December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joining us, Mr. Winter was a partner of an international law firm in Hong Kong where he was co-chair of the firm’s Betting &amp; Gaming practice group. Prior to that, he was a senior corporate partner in the Hong Kong office of another large international law firm. Mr. Winter holds law degrees from the University of Oxford and Brunel University, and is admitted as a solicitor in England and Wales and Hong Kong.</w:t>
      </w:r>
    </w:p>
    <w:p>
      <w:pPr>
        <w:spacing w:after="0" w:line="16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Akiko Takahashi </w:t>
      </w:r>
      <w:r>
        <w:rPr>
          <w:rFonts w:ascii="Times New Roman" w:cs="Times New Roman" w:eastAsia="Times New Roman" w:hAnsi="Times New Roman"/>
          <w:sz w:val="17"/>
          <w:szCs w:val="17"/>
          <w:color w:val="auto"/>
        </w:rPr>
        <w:t>is our executive vice president and chief of staff to chairman and chief executive officer, and was appointed to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role in June 2019. Ms. Takahashi is also a director of Studio City International Holdings Limited, a subsidiary of the Company whose ADSs have been listed on the New York Stock Exchange since October 2018. Prior to her present roles, she was the Company’s executive vice president and chief officer, human resources/corporate social responsibility from December 2008 and held the title of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Management Structure</w:t>
      </w:r>
    </w:p>
    <w:p>
      <w:pPr>
        <w:spacing w:after="0" w:line="120"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Mr. Ho, our chairman and chief executive officer, is responsible for overseeing the overall strategic direction of our Company. Our management structure includes an executive committee which is composed of our executive officers and other senior executives including property presidents, executive vice presidents and other business unit leaders and is responsible for formulating business strategies and considering day-to-day operational matters. Mr. Evan Andrew Winkler, a board member and President of the Company, is responsible for the Company’s day-to-day operational matters globally and the Company’s operational departments, property presidents and other business unit leaders report directly to Mr. Winkler while our executive officers and a few other senior executives, together with Mr. Winkler himself, report directly to Mr. Ho.</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920"/>
          </w:cols>
          <w:pgMar w:left="320" w:top="472" w:right="6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B. COMPENSATION OF DIRECTORS AND EXECUTIVE OFFICERS</w:t>
      </w:r>
    </w:p>
    <w:p>
      <w:pPr>
        <w:spacing w:after="0" w:line="225"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 year, to all the directors and executive officers of our Company as a group by our Company and its subsidiaries, amounted to approximately US$33.9 million for the year ended December 31, 2025.</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Bonus Plan</w:t>
      </w:r>
    </w:p>
    <w:p>
      <w:pPr>
        <w:spacing w:after="0" w:line="120"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We offer our management colleagues, including senior executive officers, the ability to participate in our Company’s discretionary annual bonus plan. As part of this plan, colleagues may receive compensation in addition to their base salary upon satisfactory achievement of certain strategic, financial and individual objectives. Directors, other than Mr. Lawrence Ho, who participates in his capacity as our chief executive officer, Mr. Evan Winkler, who participates in his capacity as our president, and Mr. Clarence Chung, who participates his capacity as the president of MRP, are excluded from this plan. The discretionary annual bonus plan is administered at the sole discretion of our Company and our Board’s compensation committee.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Equity Awards</w:t>
      </w:r>
    </w:p>
    <w:p>
      <w:pPr>
        <w:spacing w:after="0" w:line="120"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On April 2, 2025, we granted 7,930,926 restricted shares pursuant to our 2021 Share Incentive Plan to directors and executive officers of our Company. The grant date fair value of the restricted shares granted (closing price of the grant date) was US$1.78 per share. Such grantees will receive ordinary shares upon vesting of restricted shares at par value.</w:t>
      </w:r>
    </w:p>
    <w:p>
      <w:pPr>
        <w:spacing w:after="0" w:line="162"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On April 2, 2025, we granted share options to acquire 596,682 of our ordinary shares pursuant to our 2021 Share Incentive Plan to an executive officer of our Company with an exercise price of US$1.78 per share. The options expire ten years from the date of grant.</w:t>
      </w:r>
    </w:p>
    <w:p>
      <w:pPr>
        <w:spacing w:after="0" w:line="147"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On June 3, 2025, we granted 346,950 restricted shares pursuant to our 2021 Share Incentive Plan to an executive officer of our Company. The grant date fair value of the restricted shares granted (closing price of the grant date) was US$2.08 per share. Such grantee will receive ordinary shares upon vesting of restricted shares at par value.</w:t>
      </w:r>
    </w:p>
    <w:p>
      <w:pPr>
        <w:spacing w:after="0" w:line="162"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On October 6, 2025, we granted 30,000 restricted shares pursuant to our 2021 Share Incentive Plan to a director of our Company. The grant date fair value of the restricted shares granted (closing price of the grant date) was US$2.84 per share. Such grantee will receive ordinary shares upon vesting of restricted shares at par value.</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Pension, Retirement or Similar Benefits</w:t>
      </w:r>
    </w:p>
    <w:p>
      <w:pPr>
        <w:spacing w:after="0" w:line="120" w:lineRule="exact"/>
        <w:rPr>
          <w:sz w:val="20"/>
          <w:szCs w:val="20"/>
          <w:color w:val="auto"/>
        </w:rPr>
      </w:pPr>
    </w:p>
    <w:p>
      <w:pPr>
        <w:jc w:val="both"/>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2025, we set aside or accrued approximately US$0.4 million to provide pension, retirement or similar benefits to our senior executive officers. Our directors, other than Mr. Lawrence Ho who participates in his capacity as our chief executive officer, do not participate in such schemes.</w:t>
      </w: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Composition of Board of Directors</w:t>
      </w:r>
    </w:p>
    <w:p>
      <w:pPr>
        <w:spacing w:after="0" w:line="120"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Our board consists of seven directors, including three directors nominated by Melco International and four independent directors. Nasdaq Stock Market Rule 5605(b)(1) generally requires that a majority of an</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920"/>
          </w:cols>
          <w:pgMar w:left="320" w:top="472" w:right="6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issuer’s board of directors must consist of independent directors. However, Nasdaq Stock Market Rule 5615(a)(3) permits foreign private issuers like us to follow “home country practice” in certain corporate governance matters. Walkers (Singapore) Limited Liability Partnership, our Cayman Islands counsel, has provided a letter to Nasdaq certifying that under the Companies Act (as amended) of the Cayman Islands, we are not required to have a majority of independent directors serving on our board. Since September 5, 2018, we have had a majority of independent directors serving on our board. Prior to that, we relied on this “home country practice” exception.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120"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Under Cayman Islands law, our directors have a fiduciary duty to act honestly, in good faith and in what they consider to be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We, as the Company, have the right to seek damages if a duty owed by our directors is breached and we suffer a loss as a result. In certain circumstances, an individual shareholder may bring such a claim for damages against our directors, on behalf of the Company, by way of a derivative action.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functions and powers of our board include, among others:</w:t>
      </w:r>
    </w:p>
    <w:p>
      <w:pPr>
        <w:spacing w:after="0" w:line="131" w:lineRule="exact"/>
        <w:rPr>
          <w:sz w:val="20"/>
          <w:szCs w:val="20"/>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general meetings and reporting its work to shareholders at such meetings;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 and distributions;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officers;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our Company and mortgaging the property of our Company;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transfer of shares of our Company, including the registering of such shares in our share register.</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Directors and Executive Officers</w:t>
      </w:r>
    </w:p>
    <w:p>
      <w:pPr>
        <w:spacing w:after="0" w:line="120"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Our officers are elected by and serve at the discretion of the board. Our directors are not subject to a term of office and hold office until such time as they resign, are removed from office by special resolution or by a majority of the directors, or otherwise vacate their office in accordance with our articles of association. A director will vacate office automatically if, among other things, the director (i) becomes bankrupt or makes any arrangement or composition with his creditors; or (ii) dies or is found by a court to be of unsound mind. In addition, none of the service agreements between us and our directors provide benefits upon termination of their service.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20"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Our board established an audit committee, a compensation committee and a nominating and corporate governance committee in December 2006 and an environmental sustainability and corporate social responsibility committee in September 2025. Our audit committee was renamed our audit and risk committee on August 3, 2016. Each committee has its defined scope of duties and terms of reference within its own charter, which empowers the committee members to make decisions on certain matters. The charters of our audit and risk committee, compensation committee and nominating and corporate governance committee were adopted by our board on November 28, 2006 and have been amended and restated on several occasions, with the latest version of the compensation committee charter amended on September 1, 2025, the audit and risk committee charter amended on December 3, 2025 and the nominating and corporate governance committee charter amended on</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0920"/>
          </w:cols>
          <w:pgMar w:left="320" w:top="472" w:right="6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20"/>
        <w:spacing w:after="0" w:line="269" w:lineRule="auto"/>
        <w:rPr>
          <w:sz w:val="20"/>
          <w:szCs w:val="20"/>
          <w:color w:val="auto"/>
        </w:rPr>
      </w:pPr>
      <w:r>
        <w:rPr>
          <w:rFonts w:ascii="Times New Roman" w:cs="Times New Roman" w:eastAsia="Times New Roman" w:hAnsi="Times New Roman"/>
          <w:sz w:val="17"/>
          <w:szCs w:val="17"/>
          <w:color w:val="auto"/>
        </w:rPr>
        <w:t>September 1, 2025. The charter of our environmental sustainability and corporate social responsibility committee was adopted by our board on September 1, 2025. These charters are found on our website. Each of these committees consists entirely of directors whom our board has determined to be independent under the “independence” requirements of the Nasdaq corporate governance rules. The current membership of these committees and summary of their respective charters are provided below.</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Audit and Risk Committee</w:t>
      </w:r>
    </w:p>
    <w:p>
      <w:pPr>
        <w:spacing w:after="0" w:line="122" w:lineRule="exact"/>
        <w:rPr>
          <w:sz w:val="20"/>
          <w:szCs w:val="20"/>
          <w:color w:val="auto"/>
        </w:rPr>
      </w:pPr>
    </w:p>
    <w:p>
      <w:pPr>
        <w:ind w:left="300" w:right="340" w:firstLine="960"/>
        <w:spacing w:after="0" w:line="269" w:lineRule="auto"/>
        <w:rPr>
          <w:sz w:val="20"/>
          <w:szCs w:val="20"/>
          <w:color w:val="auto"/>
        </w:rPr>
      </w:pPr>
      <w:r>
        <w:rPr>
          <w:rFonts w:ascii="Times New Roman" w:cs="Times New Roman" w:eastAsia="Times New Roman" w:hAnsi="Times New Roman"/>
          <w:sz w:val="17"/>
          <w:szCs w:val="17"/>
          <w:color w:val="auto"/>
        </w:rPr>
        <w:t>Our audit and risk committee consists of Messrs. Thomas Jefferson Wu, Alec Yiu Wa Tsui, John Peter Ben Wang and Ms. Francesca Galante, and is chaired by Mr. Wang. Each of the committee members satisfies the “independence” requirements of Rule 10A-3 under the Securities Exchange Act of 1934, or the Exchange Act. We believe that Mr. Wang qualifies as an “audit committee financial expert” as defined in Item 16A of Form 20-F. The purpose of the committee is to assist our board in overseeing and monitoring:</w:t>
      </w:r>
    </w:p>
    <w:p>
      <w:pPr>
        <w:spacing w:after="0" w:line="78" w:lineRule="exact"/>
        <w:rPr>
          <w:sz w:val="20"/>
          <w:szCs w:val="20"/>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audits of the financial statements of our Company;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and independence of our independent auditors;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our independent auditors;</w:t>
      </w:r>
    </w:p>
    <w:p>
      <w:pPr>
        <w:spacing w:after="0" w:line="131" w:lineRule="exact"/>
        <w:rPr>
          <w:rFonts w:ascii="Times New Roman" w:cs="Times New Roman" w:eastAsia="Times New Roman" w:hAnsi="Times New Roman"/>
          <w:sz w:val="17"/>
          <w:szCs w:val="17"/>
          <w:color w:val="auto"/>
        </w:rPr>
      </w:pPr>
    </w:p>
    <w:p>
      <w:pPr>
        <w:ind w:left="1240" w:right="420" w:hanging="530"/>
        <w:spacing w:after="0" w:line="295"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accounting and financial reporting processes of our Company and the integrity of our systems of internal accounting and financial controls;</w:t>
      </w:r>
    </w:p>
    <w:p>
      <w:pPr>
        <w:spacing w:after="0" w:line="55" w:lineRule="exact"/>
        <w:rPr>
          <w:rFonts w:ascii="Times New Roman" w:cs="Times New Roman" w:eastAsia="Times New Roman" w:hAnsi="Times New Roman"/>
          <w:sz w:val="17"/>
          <w:szCs w:val="17"/>
          <w:color w:val="auto"/>
        </w:rPr>
      </w:pPr>
    </w:p>
    <w:p>
      <w:pPr>
        <w:ind w:left="1240" w:right="200" w:hanging="530"/>
        <w:spacing w:after="0" w:line="276"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issues relating to the financial statements of our Company, including oversight of the independent auditor, review of the financial statements and related material, internal audit process and the procedure for receiving complaints regarding accounting, internal accounting controls, auditing or other related matters;</w:t>
      </w:r>
    </w:p>
    <w:p>
      <w:pPr>
        <w:spacing w:after="0" w:line="70" w:lineRule="exact"/>
        <w:rPr>
          <w:rFonts w:ascii="Times New Roman" w:cs="Times New Roman" w:eastAsia="Times New Roman" w:hAnsi="Times New Roman"/>
          <w:sz w:val="17"/>
          <w:szCs w:val="17"/>
          <w:color w:val="auto"/>
        </w:rPr>
      </w:pPr>
    </w:p>
    <w:p>
      <w:pPr>
        <w:ind w:left="1240" w:right="460" w:hanging="530"/>
        <w:spacing w:after="0" w:line="295"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in accordance with our relevant policies, of any material information regarding the quality or integrity of our financial statements, which is brought to its attention by our disclosure committee;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integrity and effectiveness of our internal audit function; and</w:t>
      </w:r>
    </w:p>
    <w:p>
      <w:pPr>
        <w:spacing w:after="0" w:line="131" w:lineRule="exact"/>
        <w:rPr>
          <w:rFonts w:ascii="Times New Roman" w:cs="Times New Roman" w:eastAsia="Times New Roman" w:hAnsi="Times New Roman"/>
          <w:sz w:val="17"/>
          <w:szCs w:val="17"/>
          <w:color w:val="auto"/>
        </w:rPr>
      </w:pPr>
    </w:p>
    <w:p>
      <w:pPr>
        <w:ind w:left="1260" w:right="4980" w:hanging="550"/>
        <w:spacing w:after="0" w:line="457" w:lineRule="auto"/>
        <w:tabs>
          <w:tab w:leader="none" w:pos="124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Company’s risk management policies, procedures and practices. The duties of the committee include:</w:t>
      </w:r>
    </w:p>
    <w:p>
      <w:pPr>
        <w:ind w:left="1240" w:right="120" w:hanging="530"/>
        <w:spacing w:after="0" w:line="276"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70"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remuneration and terms of engagement of the independent auditor, and pre-approving all auditing and non-auditing services permitted to be performed by our independent auditors;</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obtaining a written report from our independent auditor describing matters relating to its independence and quality control procedures;</w:t>
      </w:r>
    </w:p>
    <w:p>
      <w:pPr>
        <w:spacing w:after="0" w:line="55" w:lineRule="exact"/>
        <w:rPr>
          <w:rFonts w:ascii="Times New Roman" w:cs="Times New Roman" w:eastAsia="Times New Roman" w:hAnsi="Times New Roman"/>
          <w:sz w:val="17"/>
          <w:szCs w:val="17"/>
          <w:color w:val="auto"/>
        </w:rPr>
      </w:pPr>
    </w:p>
    <w:p>
      <w:pPr>
        <w:ind w:left="1240" w:right="20" w:hanging="530"/>
        <w:spacing w:after="0" w:line="276"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70"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the financial statements for inclusion within our quarterly earnings releases and to our board for inclusion in our annual reports;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material related party transactions brought to its attention, without further approval of our board;</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0960"/>
          </w:cols>
          <w:pgMar w:left="320" w:top="472" w:right="6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overseeing procedures for the handling of complaints and whistleblowing;</w:t>
      </w:r>
    </w:p>
    <w:p>
      <w:pPr>
        <w:spacing w:after="0" w:line="131" w:lineRule="exact"/>
        <w:rPr>
          <w:rFonts w:ascii="Times New Roman" w:cs="Times New Roman" w:eastAsia="Times New Roman" w:hAnsi="Times New Roman"/>
          <w:sz w:val="17"/>
          <w:szCs w:val="17"/>
          <w:color w:val="auto"/>
        </w:rPr>
      </w:pPr>
    </w:p>
    <w:p>
      <w:pPr>
        <w:ind w:left="1240" w:right="600" w:hanging="530"/>
        <w:spacing w:after="0" w:line="295"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internal audit charter and annual audit plans, and undertaking an annual performance evaluation of the internal audit function;</w:t>
      </w:r>
    </w:p>
    <w:p>
      <w:pPr>
        <w:spacing w:after="0" w:line="55" w:lineRule="exact"/>
        <w:rPr>
          <w:rFonts w:ascii="Times New Roman" w:cs="Times New Roman" w:eastAsia="Times New Roman" w:hAnsi="Times New Roman"/>
          <w:sz w:val="17"/>
          <w:szCs w:val="17"/>
          <w:color w:val="auto"/>
        </w:rPr>
      </w:pPr>
    </w:p>
    <w:p>
      <w:pPr>
        <w:ind w:left="1240" w:right="80" w:hanging="530"/>
        <w:spacing w:after="0" w:line="269"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Chief Risk Officer and senior management’s policies and procedures to identify, accept, mitigate, allocate or otherwise manage various types of risks that may materially impact the Company’s business, strategy, operation, financials and reputation, including without limitation, legal, compliance and operational risks and other evolving risks such as cybersecurity threats, and making recommendations with respect to our risk management process for the board’s approval;</w:t>
      </w:r>
    </w:p>
    <w:p>
      <w:pPr>
        <w:spacing w:after="0" w:line="77" w:lineRule="exact"/>
        <w:rPr>
          <w:rFonts w:ascii="Times New Roman" w:cs="Times New Roman" w:eastAsia="Times New Roman" w:hAnsi="Times New Roman"/>
          <w:sz w:val="17"/>
          <w:szCs w:val="17"/>
          <w:color w:val="auto"/>
        </w:rPr>
      </w:pPr>
    </w:p>
    <w:p>
      <w:pPr>
        <w:ind w:left="1240" w:right="360" w:hanging="530"/>
        <w:spacing w:after="0" w:line="276"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board, evaluating the performance of the audit and risk committee on an annual basis;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22" w:lineRule="exact"/>
        <w:rPr>
          <w:sz w:val="20"/>
          <w:szCs w:val="20"/>
          <w:color w:val="auto"/>
        </w:rPr>
      </w:pPr>
    </w:p>
    <w:p>
      <w:pPr>
        <w:ind w:left="300" w:right="320" w:firstLine="960"/>
        <w:spacing w:after="0" w:line="269" w:lineRule="auto"/>
        <w:rPr>
          <w:sz w:val="20"/>
          <w:szCs w:val="20"/>
          <w:color w:val="auto"/>
        </w:rPr>
      </w:pPr>
      <w:r>
        <w:rPr>
          <w:rFonts w:ascii="Times New Roman" w:cs="Times New Roman" w:eastAsia="Times New Roman" w:hAnsi="Times New Roman"/>
          <w:sz w:val="17"/>
          <w:szCs w:val="17"/>
          <w:color w:val="auto"/>
        </w:rPr>
        <w:t>Our compensation committee consists of Messrs. Thomas Jefferson Wu, Alec Yiu Wa Tsui, John Peter Ben Wang and Ms. Francesca Galante, and is chaired by Mr. Wu. The purpose of the committee is to discharge the responsibilities of the board relating to compensation of our directors and our executives, including, amongst others, to design (in consultation with management), evaluate and approve the compensation plans, policies and programs for the executives and evaluate and recommend to our board for approval of the directors’ compensation.</w:t>
      </w:r>
    </w:p>
    <w:p>
      <w:pPr>
        <w:spacing w:after="0" w:line="169"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Members of this committee are not prohibited from direct involvement in determining their own compensation. Our chief executive officer may not be present at any compensation committee meeting during the time when his compensation is deliberated.</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duties of the committee include:</w:t>
      </w:r>
    </w:p>
    <w:p>
      <w:pPr>
        <w:spacing w:after="0" w:line="131" w:lineRule="exact"/>
        <w:rPr>
          <w:sz w:val="20"/>
          <w:szCs w:val="20"/>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development and implementation of executive compensation programs in consultation with our management;</w:t>
      </w:r>
    </w:p>
    <w:p>
      <w:pPr>
        <w:spacing w:after="0" w:line="131"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making recommendations to our board for approval with respect to the compensation arrangements for our directors, and approving compensation arrangements for our chief executive officer and other executives;</w:t>
      </w:r>
    </w:p>
    <w:p>
      <w:pPr>
        <w:spacing w:after="0" w:line="55" w:lineRule="exact"/>
        <w:rPr>
          <w:rFonts w:ascii="Times New Roman" w:cs="Times New Roman" w:eastAsia="Times New Roman" w:hAnsi="Times New Roman"/>
          <w:sz w:val="17"/>
          <w:szCs w:val="17"/>
          <w:color w:val="auto"/>
        </w:rPr>
      </w:pPr>
    </w:p>
    <w:p>
      <w:pPr>
        <w:jc w:val="both"/>
        <w:ind w:left="1240" w:right="100" w:hanging="530"/>
        <w:spacing w:after="0" w:line="276"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reviewing and approving our incentive compensation plans and equity grant, if any, under our share incentive plans, and overseeing the administration of these plans and discharging any responsibilities imposed on the compensation committee by any of these plans;</w:t>
      </w:r>
    </w:p>
    <w:p>
      <w:pPr>
        <w:spacing w:after="0" w:line="70"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payable to our executive directors and executives in connection with any loss or termination of their office or appointment;</w:t>
      </w:r>
    </w:p>
    <w:p>
      <w:pPr>
        <w:spacing w:after="0" w:line="55" w:lineRule="exact"/>
        <w:rPr>
          <w:rFonts w:ascii="Times New Roman" w:cs="Times New Roman" w:eastAsia="Times New Roman" w:hAnsi="Times New Roman"/>
          <w:sz w:val="17"/>
          <w:szCs w:val="17"/>
          <w:color w:val="auto"/>
        </w:rPr>
      </w:pPr>
    </w:p>
    <w:p>
      <w:pPr>
        <w:ind w:left="1240" w:right="30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benefits in kind received by any director or executives where such benefits are not provided for under the relevant employment terms;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executive officer and director indemnification and insurance matters;</w:t>
      </w:r>
    </w:p>
    <w:p>
      <w:pPr>
        <w:spacing w:after="0" w:line="131" w:lineRule="exact"/>
        <w:rPr>
          <w:rFonts w:ascii="Times New Roman" w:cs="Times New Roman" w:eastAsia="Times New Roman" w:hAnsi="Times New Roman"/>
          <w:sz w:val="17"/>
          <w:szCs w:val="17"/>
          <w:color w:val="auto"/>
        </w:rPr>
      </w:pPr>
    </w:p>
    <w:p>
      <w:pPr>
        <w:ind w:left="1240" w:right="8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regulatory compliance with respect to compensation matters, including our policies and restrictions on compensation plans and loans to officers and directors;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0940"/>
          </w:cols>
          <w:pgMar w:left="320" w:top="472" w:right="6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compensation committee on an annual basis;</w:t>
      </w:r>
    </w:p>
    <w:p>
      <w:pPr>
        <w:spacing w:after="0" w:line="131" w:lineRule="exact"/>
        <w:rPr>
          <w:rFonts w:ascii="Times New Roman" w:cs="Times New Roman" w:eastAsia="Times New Roman" w:hAnsi="Times New Roman"/>
          <w:sz w:val="17"/>
          <w:szCs w:val="17"/>
          <w:color w:val="auto"/>
        </w:rPr>
      </w:pPr>
    </w:p>
    <w:p>
      <w:pPr>
        <w:ind w:left="1240" w:right="40" w:hanging="530"/>
        <w:spacing w:after="0" w:line="276"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such time as it deems appropriate, reviewing and making recommendations to the Board with respect to the adoption of any share incentive plans and/or modifications to the terms thereof and carrying out of the committee’s duties and responsibilities as set forth in such share incentive plans;</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22" w:lineRule="exact"/>
        <w:rPr>
          <w:sz w:val="20"/>
          <w:szCs w:val="20"/>
          <w:color w:val="auto"/>
        </w:rPr>
      </w:pPr>
    </w:p>
    <w:p>
      <w:pPr>
        <w:jc w:val="both"/>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Messrs. Thomas Jefferson Wu, Alec Yiu Wa Tsui, John Peter Ben Wang and Ms. Francesca Galante, and is chaired by Mr. Tsui. The purpose of the committee is to assist our board in discharging its responsibilities regarding:</w:t>
      </w:r>
    </w:p>
    <w:p>
      <w:pPr>
        <w:spacing w:after="0" w:line="55" w:lineRule="exact"/>
        <w:rPr>
          <w:sz w:val="20"/>
          <w:szCs w:val="20"/>
          <w:color w:val="auto"/>
        </w:rPr>
      </w:pPr>
    </w:p>
    <w:p>
      <w:pPr>
        <w:ind w:left="1240" w:right="2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identification of qualified candidates to become members and chairs of the board and its committees and to fill any such vacancies, and reviewing the appropriateness of the continued service of directors;</w:t>
      </w:r>
    </w:p>
    <w:p>
      <w:pPr>
        <w:spacing w:after="0" w:line="55"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our board meets the criteria for independence under the Nasdaq corporate governance rules and nominating directors who meet such independence criteria;</w:t>
      </w:r>
    </w:p>
    <w:p>
      <w:pPr>
        <w:spacing w:after="0" w:line="55" w:lineRule="exact"/>
        <w:rPr>
          <w:rFonts w:ascii="Times New Roman" w:cs="Times New Roman" w:eastAsia="Times New Roman" w:hAnsi="Times New Roman"/>
          <w:sz w:val="17"/>
          <w:szCs w:val="17"/>
          <w:color w:val="auto"/>
        </w:rPr>
      </w:pPr>
    </w:p>
    <w:p>
      <w:pPr>
        <w:ind w:left="1240" w:right="72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compliance with legal and regulatory requirements, in particular the legal and regulatory requirements of Macau (including the relevant laws related to the gaming industry), the Cayman Islands, the SEC and Nasdaq;</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recommendation to our board of a set of corporate governance principles applicable to our Company;</w:t>
      </w:r>
    </w:p>
    <w:p>
      <w:pPr>
        <w:spacing w:after="0" w:line="131" w:lineRule="exact"/>
        <w:rPr>
          <w:rFonts w:ascii="Times New Roman" w:cs="Times New Roman" w:eastAsia="Times New Roman" w:hAnsi="Times New Roman"/>
          <w:sz w:val="17"/>
          <w:szCs w:val="17"/>
          <w:color w:val="auto"/>
        </w:rPr>
      </w:pPr>
    </w:p>
    <w:p>
      <w:pPr>
        <w:ind w:left="1240" w:right="26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in accordance with our relevant policies, of any material information (other than that regarding the quality or integrity of our financial statements), which is brought to its attention by the disclosure committee; and</w:t>
      </w:r>
    </w:p>
    <w:p>
      <w:pPr>
        <w:spacing w:after="0" w:line="55" w:lineRule="exact"/>
        <w:rPr>
          <w:rFonts w:ascii="Times New Roman" w:cs="Times New Roman" w:eastAsia="Times New Roman" w:hAnsi="Times New Roman"/>
          <w:sz w:val="17"/>
          <w:szCs w:val="17"/>
          <w:color w:val="auto"/>
        </w:rPr>
      </w:pPr>
    </w:p>
    <w:p>
      <w:pPr>
        <w:ind w:left="1260" w:right="5540" w:hanging="550"/>
        <w:spacing w:after="0" w:line="457" w:lineRule="auto"/>
        <w:tabs>
          <w:tab w:leader="none" w:pos="124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governance-related risks and opportunities. The duties of the committee include:</w:t>
      </w:r>
    </w:p>
    <w:p>
      <w:pPr>
        <w:ind w:left="1240" w:right="2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our board for its approval, the appointment or re-appointment of any members of our board and the chairs and members of its committees, including evaluating any succession planning;</w:t>
      </w:r>
    </w:p>
    <w:p>
      <w:pPr>
        <w:spacing w:after="0" w:line="55" w:lineRule="exact"/>
        <w:rPr>
          <w:rFonts w:ascii="Times New Roman" w:cs="Times New Roman" w:eastAsia="Times New Roman" w:hAnsi="Times New Roman"/>
          <w:sz w:val="17"/>
          <w:szCs w:val="17"/>
          <w:color w:val="auto"/>
        </w:rPr>
      </w:pPr>
    </w:p>
    <w:p>
      <w:pPr>
        <w:ind w:left="124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55" w:lineRule="exact"/>
        <w:rPr>
          <w:rFonts w:ascii="Times New Roman" w:cs="Times New Roman" w:eastAsia="Times New Roman" w:hAnsi="Times New Roman"/>
          <w:sz w:val="17"/>
          <w:szCs w:val="17"/>
          <w:color w:val="auto"/>
        </w:rPr>
      </w:pPr>
    </w:p>
    <w:p>
      <w:pPr>
        <w:ind w:left="1240" w:right="40" w:hanging="530"/>
        <w:spacing w:after="0" w:line="276"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set of corporate governance principles and reviewing such principles at least annually;</w:t>
      </w:r>
    </w:p>
    <w:p>
      <w:pPr>
        <w:spacing w:after="0" w:line="131" w:lineRule="exact"/>
        <w:rPr>
          <w:rFonts w:ascii="Times New Roman" w:cs="Times New Roman" w:eastAsia="Times New Roman" w:hAnsi="Times New Roman"/>
          <w:sz w:val="17"/>
          <w:szCs w:val="17"/>
          <w:color w:val="auto"/>
        </w:rPr>
      </w:pPr>
    </w:p>
    <w:p>
      <w:pPr>
        <w:ind w:left="1240" w:right="100" w:hanging="530"/>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deciding whether any material information (other than that regarding the quality or integrity of our financial statements), which is brought to its attention by the disclosure committee, should be disclosed;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the training and continuous professional development of our directors and senior management;</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0940"/>
          </w:cols>
          <w:pgMar w:left="320" w:top="472" w:right="6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reviewing and monitoring the code of conduct and compliance manual applicable to employees and directors;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committee on an annual basis;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Environmental Sustainability and Corporate Social Responsibility Committee</w:t>
      </w:r>
    </w:p>
    <w:p>
      <w:pPr>
        <w:spacing w:after="0" w:line="122" w:lineRule="exact"/>
        <w:rPr>
          <w:sz w:val="20"/>
          <w:szCs w:val="20"/>
          <w:color w:val="auto"/>
        </w:rPr>
      </w:pPr>
    </w:p>
    <w:p>
      <w:pPr>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Our environmental sustainability and corporate social responsibility committee consists of Messrs. Thomas Jefferson Wu, Alec Yiu Wa Tsui, John Peter Ben Wang and Ms. Francesca Galante, and is chaired by Ms. Galante. The purpose of the committee is to assist our board in discharging its responsibilities regarding:</w:t>
      </w:r>
    </w:p>
    <w:p>
      <w:pPr>
        <w:spacing w:after="0" w:line="70" w:lineRule="exact"/>
        <w:rPr>
          <w:sz w:val="20"/>
          <w:szCs w:val="20"/>
          <w:color w:val="auto"/>
        </w:rPr>
      </w:pPr>
    </w:p>
    <w:p>
      <w:pPr>
        <w:ind w:left="1240" w:hanging="530"/>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environmental sustainability and corporate social responsibility risks, strategies, performance and opportunities; and</w:t>
      </w:r>
    </w:p>
    <w:p>
      <w:pPr>
        <w:spacing w:after="0" w:line="131" w:lineRule="exact"/>
        <w:rPr>
          <w:rFonts w:ascii="Times New Roman" w:cs="Times New Roman" w:eastAsia="Times New Roman" w:hAnsi="Times New Roman"/>
          <w:sz w:val="17"/>
          <w:szCs w:val="17"/>
          <w:color w:val="auto"/>
        </w:rPr>
      </w:pPr>
    </w:p>
    <w:p>
      <w:pPr>
        <w:ind w:left="1260" w:right="1580" w:hanging="550"/>
        <w:spacing w:after="0" w:line="457" w:lineRule="auto"/>
        <w:tabs>
          <w:tab w:leader="none" w:pos="124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suitability of the policies, programs and disclosures issued by our Company to address such matters. The duties of the committee include:</w:t>
      </w:r>
    </w:p>
    <w:p>
      <w:pPr>
        <w:ind w:left="1240" w:right="940" w:hanging="530"/>
        <w:spacing w:after="0" w:line="295"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proposing and recommending to our board objectives, strategies, priorities, initiatives and goals with respect to environmental sustainability and corporate social responsibility;</w:t>
      </w:r>
    </w:p>
    <w:p>
      <w:pPr>
        <w:spacing w:after="0" w:line="55" w:lineRule="exact"/>
        <w:rPr>
          <w:rFonts w:ascii="Times New Roman" w:cs="Times New Roman" w:eastAsia="Times New Roman" w:hAnsi="Times New Roman"/>
          <w:sz w:val="17"/>
          <w:szCs w:val="17"/>
          <w:color w:val="auto"/>
        </w:rPr>
      </w:pPr>
    </w:p>
    <w:p>
      <w:pPr>
        <w:ind w:left="1240" w:right="160" w:hanging="530"/>
        <w:spacing w:after="0" w:line="295"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and reviewing our Company’s environmental sustainability and corporate social responsibility-related policies, programs, and evaluating actions taken in furtherance of such priorities and goals;</w:t>
      </w:r>
    </w:p>
    <w:p>
      <w:pPr>
        <w:spacing w:after="0" w:line="55" w:lineRule="exact"/>
        <w:rPr>
          <w:rFonts w:ascii="Times New Roman" w:cs="Times New Roman" w:eastAsia="Times New Roman" w:hAnsi="Times New Roman"/>
          <w:sz w:val="17"/>
          <w:szCs w:val="17"/>
          <w:color w:val="auto"/>
        </w:rPr>
      </w:pPr>
    </w:p>
    <w:p>
      <w:pPr>
        <w:ind w:left="1240" w:right="400" w:hanging="530"/>
        <w:spacing w:after="0" w:line="295"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reviewing issues, trends and developments with respect to emerging environmental sustainability and corporate social responsibility that could impact our Company’s business operations;</w:t>
      </w:r>
    </w:p>
    <w:p>
      <w:pPr>
        <w:spacing w:after="0" w:line="55"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the impact of our Company’s environmental sustainability and corporate social responsibility-related policies and programs on our stakeholders, shareholders, local communities and environment;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committee on an annual basis;</w:t>
      </w:r>
    </w:p>
    <w:p>
      <w:pPr>
        <w:spacing w:after="0" w:line="131" w:lineRule="exact"/>
        <w:rPr>
          <w:rFonts w:ascii="Times New Roman" w:cs="Times New Roman" w:eastAsia="Times New Roman" w:hAnsi="Times New Roman"/>
          <w:sz w:val="17"/>
          <w:szCs w:val="17"/>
          <w:color w:val="auto"/>
        </w:rPr>
      </w:pPr>
    </w:p>
    <w:p>
      <w:pPr>
        <w:jc w:val="both"/>
        <w:ind w:left="1240" w:right="20" w:hanging="530"/>
        <w:spacing w:after="0" w:line="276" w:lineRule="auto"/>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reports to our board on environmental sustainability and corporate social responsibility-related risks, strategies, performance and opportunities, and regular public disclosures, including our sustainability report following review and approval by our Chairman and Chief Executive Officer;</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its charter;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advance notice,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0960"/>
          </w:cols>
          <w:pgMar w:left="320" w:top="472" w:right="6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20"/>
        <w:spacing w:after="0" w:line="295" w:lineRule="auto"/>
        <w:rPr>
          <w:sz w:val="20"/>
          <w:szCs w:val="20"/>
          <w:color w:val="auto"/>
        </w:rPr>
      </w:pPr>
      <w:r>
        <w:rPr>
          <w:rFonts w:ascii="Times New Roman" w:cs="Times New Roman" w:eastAsia="Times New Roman" w:hAnsi="Times New Roman"/>
          <w:sz w:val="17"/>
          <w:szCs w:val="17"/>
          <w:color w:val="auto"/>
        </w:rPr>
        <w:t>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47"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69"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Each executive officer is prohibited from gambling at any of our Company’s facilities during the term of his or her employment and for six months following the termination of such employment agreement.</w:t>
      </w:r>
    </w:p>
    <w:p>
      <w:pPr>
        <w:spacing w:after="0" w:line="147" w:lineRule="exact"/>
        <w:rPr>
          <w:sz w:val="20"/>
          <w:szCs w:val="20"/>
          <w:color w:val="auto"/>
        </w:rPr>
      </w:pPr>
    </w:p>
    <w:p>
      <w:pPr>
        <w:ind w:left="300" w:right="360" w:firstLine="960"/>
        <w:spacing w:after="0" w:line="267" w:lineRule="auto"/>
        <w:rPr>
          <w:sz w:val="20"/>
          <w:szCs w:val="20"/>
          <w:color w:val="auto"/>
        </w:rPr>
      </w:pPr>
      <w:r>
        <w:rPr>
          <w:rFonts w:ascii="Times New Roman" w:cs="Times New Roman" w:eastAsia="Times New Roman" w:hAnsi="Times New Roman"/>
          <w:sz w:val="17"/>
          <w:szCs w:val="17"/>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w:t>
      </w:r>
    </w:p>
    <w:p>
      <w:pPr>
        <w:spacing w:after="0" w:line="1" w:lineRule="exact"/>
        <w:rPr>
          <w:sz w:val="20"/>
          <w:szCs w:val="20"/>
          <w:color w:val="auto"/>
        </w:rPr>
      </w:pPr>
    </w:p>
    <w:p>
      <w:pPr>
        <w:ind w:left="300" w:right="60" w:hanging="8"/>
        <w:spacing w:after="0" w:line="260" w:lineRule="auto"/>
        <w:tabs>
          <w:tab w:leader="none" w:pos="50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 employment with or provide services as a director for any of our competitors who operate in a restricted area for six months following termination of employment; (ii) solicit or seek any business orders from our customers for one year following termination of employment; or (iii) seek directly or indirectly, to solicit the services of any of our employees for one year following termination of employment. The restricted area is defined as, including but not limited to, Hong Kong, Macau, the Philippines, Cyprus and any other country or region in which our Company operates or intends to operate.</w:t>
      </w:r>
    </w:p>
    <w:p>
      <w:pPr>
        <w:spacing w:after="0" w:line="3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25" w:lineRule="exact"/>
        <w:rPr>
          <w:sz w:val="20"/>
          <w:szCs w:val="20"/>
          <w:color w:val="auto"/>
        </w:rPr>
      </w:pPr>
    </w:p>
    <w:p>
      <w:pPr>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We had 22,961, 21,784 and 20,209 employees as of December 31, 2025, 2024 and 2023, respectively. The following table sets forth the number of employees categorized by the areas of operations and as a percentage of our workforce as of December 31, 2025, 2024 and 2023. Staff remuneration packages are determined taking into account market conditions and the performance of the individuals, and are subject to review from time to time.</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0" w:type="dxa"/>
            <w:vAlign w:val="bottom"/>
            <w:tcBorders>
              <w:bottom w:val="single" w:sz="8" w:color="auto"/>
            </w:tcBorders>
            <w:gridSpan w:val="2"/>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0" w:type="dxa"/>
            <w:vAlign w:val="bottom"/>
            <w:gridSpan w:val="2"/>
          </w:tcPr>
          <w:p>
            <w:pPr>
              <w:jc w:val="center"/>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Number</w:t>
            </w: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6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spacing w:after="0"/>
              <w:rPr>
                <w:sz w:val="9"/>
                <w:szCs w:val="9"/>
                <w:color w:val="auto"/>
              </w:rPr>
            </w:pP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80" w:type="dxa"/>
            <w:vAlign w:val="bottom"/>
            <w:gridSpan w:val="2"/>
          </w:tcPr>
          <w:p>
            <w:pPr>
              <w:jc w:val="center"/>
              <w:ind w:right="20"/>
              <w:spacing w:after="0" w:line="113" w:lineRule="exact"/>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1140" w:type="dxa"/>
            <w:vAlign w:val="bottom"/>
            <w:gridSpan w:val="2"/>
            <w:vMerge w:val="continue"/>
          </w:tcPr>
          <w:p>
            <w:pPr>
              <w:spacing w:after="0"/>
              <w:rPr>
                <w:sz w:val="12"/>
                <w:szCs w:val="12"/>
                <w:color w:val="auto"/>
              </w:rPr>
            </w:pPr>
          </w:p>
        </w:tc>
        <w:tc>
          <w:tcPr>
            <w:tcW w:w="66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8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3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Total</w:t>
            </w:r>
          </w:p>
        </w:tc>
        <w:tc>
          <w:tcPr>
            <w:tcW w:w="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8,515</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37.1%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37.8%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Studio City</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5,879</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25.6%</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5,848</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26.8%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5,286</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3,769</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16.4%</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3,947</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3,699</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Mediterranean and the Cyprus Casinos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1,833</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1,650</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7.6%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1,737</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Other Operations</w:t>
            </w:r>
            <w:r>
              <w:rPr>
                <w:rFonts w:ascii="Times New Roman" w:cs="Times New Roman" w:eastAsia="Times New Roman" w:hAnsi="Times New Roman"/>
                <w:sz w:val="24"/>
                <w:szCs w:val="24"/>
                <w:color w:val="auto"/>
                <w:vertAlign w:val="superscript"/>
              </w:rPr>
              <w:t>(1)</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1,195</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0.1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865</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968</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959</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and centralized services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598</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569</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2.6%</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540</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Mocha and Other</w:t>
            </w:r>
            <w:r>
              <w:rPr>
                <w:rFonts w:ascii="Times New Roman" w:cs="Times New Roman" w:eastAsia="Times New Roman" w:hAnsi="Times New Roman"/>
                <w:sz w:val="24"/>
                <w:szCs w:val="24"/>
                <w:color w:val="auto"/>
                <w:vertAlign w:val="superscript"/>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548</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577</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22,961</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100.0%</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21,784</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20,209</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32" w:lineRule="exact"/>
        <w:rPr>
          <w:sz w:val="20"/>
          <w:szCs w:val="20"/>
          <w:color w:val="auto"/>
        </w:rPr>
      </w:pPr>
    </w:p>
    <w:p>
      <w:pPr>
        <w:ind w:left="720" w:hanging="428"/>
        <w:spacing w:after="0"/>
        <w:tabs>
          <w:tab w:leader="none" w:pos="7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Figures include employees at City of Dreams Sri Lanka.</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164</w:t>
      </w:r>
    </w:p>
    <w:p>
      <w:pPr>
        <w:sectPr>
          <w:pgSz w:w="11900" w:h="16838" w:orient="portrait"/>
          <w:cols w:equalWidth="0" w:num="1">
            <w:col w:w="10960"/>
          </w:cols>
          <w:pgMar w:left="320" w:top="472" w:right="6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720" w:right="80" w:hanging="428"/>
        <w:spacing w:after="0" w:line="276" w:lineRule="auto"/>
        <w:tabs>
          <w:tab w:leader="none" w:pos="7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figures for December 31, 2024 and 2023 include employees at Grand Dragon Casino and the three Mocha Clubs before their respective closures in 2025 as disclosed under “Item 4. Information on the Company — B. Business Overview — Our Land and Premises — Mocha Clubs.” The employees at Grand Dragon Casino and the three Mocha Clubs have been transferred within the Group following their respective closures.</w:t>
      </w:r>
    </w:p>
    <w:p>
      <w:pPr>
        <w:spacing w:after="0" w:line="16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Other than the rank-and-file employees of the (a) Table Games Division and (b) Gaming Technology Services Department of City of Dreams Manila, none of our employees are members of any other certified labor union; and except for the collective bargaining agreement with the Table Games Division of City of Dreams Manila, we are not a party to any other collective bargaining or similar agreement with our employees. See “Item 3. Key Information — D. Risk Factors — Risks Relating to Our Business and Operations — The success of our business depends on our ability to attract and retain an adequate number of qualified personnel. A limited labor supply, increased competition and any increase in demands from our employees could cause labor costs to increase.”</w:t>
      </w:r>
    </w:p>
    <w:p>
      <w:pPr>
        <w:spacing w:after="0" w:line="173" w:lineRule="exact"/>
        <w:rPr>
          <w:sz w:val="20"/>
          <w:szCs w:val="20"/>
          <w:color w:val="auto"/>
        </w:rPr>
      </w:pPr>
    </w:p>
    <w:p>
      <w:pPr>
        <w:ind w:left="300" w:right="240" w:firstLine="960"/>
        <w:spacing w:after="0" w:line="261" w:lineRule="auto"/>
        <w:rPr>
          <w:sz w:val="20"/>
          <w:szCs w:val="20"/>
          <w:color w:val="auto"/>
        </w:rPr>
      </w:pPr>
      <w:r>
        <w:rPr>
          <w:rFonts w:ascii="Times New Roman" w:cs="Times New Roman" w:eastAsia="Times New Roman" w:hAnsi="Times New Roman"/>
          <w:sz w:val="17"/>
          <w:szCs w:val="17"/>
          <w:color w:val="auto"/>
        </w:rPr>
        <w:t>We have implemented a number of employee attraction and retention initiatives over recent years for the benefit of our employees and their families. These initiatives include, among others, a unique in-house learning academy (which provides curriculum across multi-functional tracks such as technical training — gaming and non-gaming, sales and marketing, legal, finance, human resources, computer application, language, service, leadership and lifestyle), a foundation acceleration program designed to enhance our employees’ understanding of business perspectives beyond their own jobs, an on-site high school diploma program and Diploma in Casino Management and Advanced Diploma in Gaming Management (a collaboration with The University of Macau), the Diploma in Hospitality Management (a collaboration with the Institute for Tourism Studies), scholarship awards to encourage the concept of life-long learning, as well as ample internal promotion and transfer opportunities. In September 2015, we launched the Melco You-niversity program with the Edinburgh Napier University, an overseas institution based in the United Kingdom, to bring a bachelor degree program in-house.</w:t>
      </w:r>
    </w:p>
    <w:p>
      <w:pPr>
        <w:spacing w:after="0" w:line="3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E. SHARE OWNERSHIP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Ownership of Directors and Members of Senior 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the beneficial interest of each director and executive officer in our ordinary shares as of March 6, 2026.</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1860" w:type="dxa"/>
            <w:vAlign w:val="bottom"/>
            <w:gridSpan w:val="2"/>
            <w:vMerge w:val="restart"/>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4"/>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percentage of</w:t>
            </w:r>
          </w:p>
        </w:tc>
        <w:tc>
          <w:tcPr>
            <w:tcW w:w="0" w:type="dxa"/>
            <w:vAlign w:val="bottom"/>
          </w:tcPr>
          <w:p>
            <w:pPr>
              <w:spacing w:after="0"/>
              <w:rPr>
                <w:sz w:val="1"/>
                <w:szCs w:val="1"/>
                <w:color w:val="auto"/>
              </w:rPr>
            </w:pPr>
          </w:p>
        </w:tc>
      </w:tr>
      <w:tr>
        <w:trPr>
          <w:trHeight w:val="155"/>
        </w:trPr>
        <w:tc>
          <w:tcPr>
            <w:tcW w:w="7700" w:type="dxa"/>
            <w:vAlign w:val="bottom"/>
            <w:gridSpan w:val="2"/>
            <w:vMerge w:val="continue"/>
          </w:tcPr>
          <w:p>
            <w:pPr>
              <w:spacing w:after="0"/>
              <w:rPr>
                <w:sz w:val="13"/>
                <w:szCs w:val="13"/>
                <w:color w:val="auto"/>
              </w:rPr>
            </w:pPr>
          </w:p>
        </w:tc>
        <w:tc>
          <w:tcPr>
            <w:tcW w:w="1860" w:type="dxa"/>
            <w:vAlign w:val="bottom"/>
            <w:gridSpan w:val="2"/>
          </w:tcPr>
          <w:p>
            <w:pPr>
              <w:jc w:val="right"/>
              <w:ind w:right="855"/>
              <w:spacing w:after="0" w:line="155" w:lineRule="exact"/>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1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shareholding</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Yau Lung Ho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713,800,992</w:t>
            </w:r>
          </w:p>
        </w:tc>
        <w:tc>
          <w:tcPr>
            <w:tcW w:w="920" w:type="dxa"/>
            <w:vAlign w:val="bottom"/>
            <w:shd w:val="clear" w:color="auto" w:fill="CCEEFF"/>
          </w:tcPr>
          <w:p>
            <w:pPr>
              <w:jc w:val="right"/>
              <w:ind w:right="555"/>
              <w:spacing w:after="0" w:line="149" w:lineRule="exact"/>
              <w:rPr>
                <w:sz w:val="20"/>
                <w:szCs w:val="20"/>
                <w:color w:val="auto"/>
              </w:rPr>
            </w:pPr>
            <w:r>
              <w:rPr>
                <w:rFonts w:ascii="Times New Roman" w:cs="Times New Roman" w:eastAsia="Times New Roman" w:hAnsi="Times New Roman"/>
                <w:sz w:val="13"/>
                <w:szCs w:val="13"/>
                <w:color w:val="auto"/>
                <w:w w:val="92"/>
              </w:rPr>
              <w:t>(2)(3)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58.49%</w:t>
            </w: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Clarence Yuk Man Chung</w:t>
            </w:r>
          </w:p>
        </w:tc>
        <w:tc>
          <w:tcPr>
            <w:tcW w:w="1860" w:type="dxa"/>
            <w:vAlign w:val="bottom"/>
            <w:gridSpan w:val="2"/>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Evan Andrew Winkler</w:t>
            </w:r>
          </w:p>
        </w:tc>
        <w:tc>
          <w:tcPr>
            <w:tcW w:w="186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Alec Yiu Wa Tsui</w:t>
            </w:r>
          </w:p>
        </w:tc>
        <w:tc>
          <w:tcPr>
            <w:tcW w:w="1860" w:type="dxa"/>
            <w:vAlign w:val="bottom"/>
            <w:gridSpan w:val="2"/>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Jefferson Wu</w:t>
            </w:r>
          </w:p>
        </w:tc>
        <w:tc>
          <w:tcPr>
            <w:tcW w:w="186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Peter Ben Wang</w:t>
            </w:r>
          </w:p>
        </w:tc>
        <w:tc>
          <w:tcPr>
            <w:tcW w:w="1860" w:type="dxa"/>
            <w:vAlign w:val="bottom"/>
            <w:gridSpan w:val="2"/>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Francesca Galante</w:t>
            </w:r>
          </w:p>
        </w:tc>
        <w:tc>
          <w:tcPr>
            <w:tcW w:w="186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Geoffrey Stuart Davis</w:t>
            </w:r>
          </w:p>
        </w:tc>
        <w:tc>
          <w:tcPr>
            <w:tcW w:w="1860" w:type="dxa"/>
            <w:vAlign w:val="bottom"/>
            <w:gridSpan w:val="2"/>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Graham Paul Winter</w:t>
            </w:r>
          </w:p>
        </w:tc>
        <w:tc>
          <w:tcPr>
            <w:tcW w:w="186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Akiko Takahashi</w:t>
            </w:r>
          </w:p>
        </w:tc>
        <w:tc>
          <w:tcPr>
            <w:tcW w:w="1860" w:type="dxa"/>
            <w:vAlign w:val="bottom"/>
            <w:gridSpan w:val="2"/>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and executive officers as a group</w:t>
            </w:r>
          </w:p>
        </w:tc>
        <w:tc>
          <w:tcPr>
            <w:tcW w:w="1860" w:type="dxa"/>
            <w:vAlign w:val="bottom"/>
            <w:gridSpan w:val="2"/>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725,110,394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59.42%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32" w:lineRule="exact"/>
        <w:rPr>
          <w:sz w:val="20"/>
          <w:szCs w:val="20"/>
          <w:color w:val="auto"/>
        </w:rPr>
      </w:pPr>
    </w:p>
    <w:p>
      <w:pPr>
        <w:ind w:left="720" w:right="100" w:hanging="428"/>
        <w:spacing w:after="0" w:line="273" w:lineRule="auto"/>
        <w:tabs>
          <w:tab w:leader="none" w:pos="7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restricted shares and our shares in aggregate held by each of these directors and executive officers represent less than 1% of our total outstanding shares.</w:t>
      </w:r>
    </w:p>
    <w:p>
      <w:pPr>
        <w:spacing w:after="0" w:line="73" w:lineRule="exact"/>
        <w:rPr>
          <w:sz w:val="20"/>
          <w:szCs w:val="20"/>
          <w:color w:val="auto"/>
        </w:rPr>
      </w:pPr>
    </w:p>
    <w:p>
      <w:pPr>
        <w:ind w:left="720" w:right="740" w:hanging="428"/>
        <w:spacing w:after="0" w:line="295" w:lineRule="auto"/>
        <w:tabs>
          <w:tab w:leader="none" w:pos="7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beneficial ownership of each director and executive officer is based on: (i) 1,220,376,014 ordinary shares of our Company outstanding as of March 6, 2026, (ii) the number of ordinary shares of</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0960"/>
          </w:cols>
          <w:pgMar w:left="320" w:top="472" w:right="6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720"/>
        <w:spacing w:after="0" w:line="295" w:lineRule="auto"/>
        <w:rPr>
          <w:sz w:val="20"/>
          <w:szCs w:val="20"/>
          <w:color w:val="auto"/>
        </w:rPr>
      </w:pPr>
      <w:r>
        <w:rPr>
          <w:rFonts w:ascii="Times New Roman" w:cs="Times New Roman" w:eastAsia="Times New Roman" w:hAnsi="Times New Roman"/>
          <w:sz w:val="17"/>
          <w:szCs w:val="17"/>
          <w:color w:val="auto"/>
        </w:rPr>
        <w:t>underlying options that have vested or will vest within 60 days after March 6, 2026 and (iii) the number of restricted shares that will vest within 60 days after March 6, 2026, each as held by such person as of that date.</w:t>
      </w:r>
    </w:p>
    <w:p>
      <w:pPr>
        <w:spacing w:after="0" w:line="55" w:lineRule="exact"/>
        <w:rPr>
          <w:sz w:val="20"/>
          <w:szCs w:val="20"/>
          <w:color w:val="auto"/>
        </w:rPr>
      </w:pPr>
    </w:p>
    <w:p>
      <w:pPr>
        <w:ind w:left="720" w:right="140" w:hanging="428"/>
        <w:spacing w:after="0" w:line="264" w:lineRule="auto"/>
        <w:tabs>
          <w:tab w:leader="none" w:pos="7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687,360,906 ordinary shares which may be deemed to be beneficially owned by Melco Leisure, a company wholly owned by Melco International, a Hong Kong company listed on the HKSE. Mr. Lawrence Ho is taken to have interest in these shares as a result of his interest in approximately 61.37% of the total issued shares of Melco International by virtue of the Securities and Futures Ordinance (Chapter 571, the Laws of Hong Kong). Please see “Item 7. Major Shareholders and Related Party Transactions” for more details. As of March 6, 2026, 667,360,904 of these ordinary shares have been pledged by Melco Leisure in connection with a US$1 billion, 5-year credit facility entered into in June 2021 (which was subsequently amended, restated, and extended for two years) by, among others, Melco International and Melco Leisure.</w:t>
      </w:r>
    </w:p>
    <w:p>
      <w:pPr>
        <w:spacing w:after="0" w:line="82" w:lineRule="exact"/>
        <w:rPr>
          <w:rFonts w:ascii="Times New Roman" w:cs="Times New Roman" w:eastAsia="Times New Roman" w:hAnsi="Times New Roman"/>
          <w:sz w:val="17"/>
          <w:szCs w:val="17"/>
          <w:color w:val="auto"/>
        </w:rPr>
      </w:pPr>
    </w:p>
    <w:p>
      <w:pPr>
        <w:ind w:left="720" w:hanging="428"/>
        <w:spacing w:after="0" w:line="266" w:lineRule="auto"/>
        <w:tabs>
          <w:tab w:leader="none" w:pos="7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Also includes (i) 9,934,422 ordinary shares held by Black Spade Capital Limited, which in turn is held by companies owned by a trust associated with Mr. Lawrence Ho; (ii) 13,395,717 ordinary shares personally held by Mr. Lawrence Ho (among which, 12,494,112 are vested restricted shares under the 2011 Share Incentive Plan and the 2021 Share Incentive Plan held by Mr. Lawrence Ho as of March 6, 2026); and (iii) 3,109,947 restricted shares that will vest from 60 days of March 6, 2026 held by Mr. Lawrence Ho. The following table summarizes, as of March 6, 2026, the unvested restricted shares (including 3,109,947 restricted shares that will vest from 60 days of March 6, 2026) held by Mr. Lawrence Ho:</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 of</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restricted shares at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Type of awards</w:t>
            </w: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6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 date per share</w:t>
            </w:r>
          </w:p>
        </w:tc>
        <w:tc>
          <w:tcPr>
            <w:tcW w:w="9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90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Yau Lung Ho</w:t>
            </w: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5, 2023</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4.1267</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April 3, 2024</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2.5200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April 2, 2025</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1.7767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7,214,295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None of our directors or executive officers who are shareholders have different voting rights from other shareholders of our Company.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Purchase and Award Program</w:t>
      </w:r>
    </w:p>
    <w:p>
      <w:pPr>
        <w:spacing w:after="0" w:line="120" w:lineRule="exact"/>
        <w:rPr>
          <w:sz w:val="20"/>
          <w:szCs w:val="20"/>
          <w:color w:val="auto"/>
        </w:rPr>
      </w:pPr>
    </w:p>
    <w:p>
      <w:pPr>
        <w:jc w:val="both"/>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From July 2021 to June 2022, we had a share purchase and award program to recognize the dedication and commitment of our employees and provide eligible employees the opportunity to benefit from our long-term growth. This program applies to eligible employees who agreed in 2020, as COVID-19 outbreaks were spreading globally, to participate in a voluntary leave program we initiated to manage costs during the outbreak.</w:t>
      </w:r>
    </w:p>
    <w:p>
      <w:pPr>
        <w:spacing w:after="0" w:line="162"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Under the share purchase and award program, eligible employees could elect to use a portion of his or her base salary to purchase and receive a grant of restricted shares under our 2011 share incentive plan, with an aggregate value equal to 200% of the amount of base salary so applied as at the grant date. The maximum amount of restricted shares to be issued under the share purchase and award program represented less than 0.50% of our total issued and outstanding shares as of the date of the adoption of the program. As of December 31, 2025, a total of 6,084,312 restricted shares had been granted to employees under the program, out of which 5,798,826 restricted shares had become vested.</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Incentive Plans</w:t>
      </w:r>
    </w:p>
    <w:p>
      <w:pPr>
        <w:spacing w:after="0" w:line="120"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We have previously adopted the 2006 Share Incentive Plan, the 2011 Share Incentive Plan, the 2021 Share Incentive Plan and the MRP Share Incentive Plan. The 2011 Share Incentive Plan, which succeeded the 2006 Share Incentive Plan on December 7, 2011, has been succeeded by our 2021 Share Incentive Plan on December 6, 2021. No further awards may be granted under the 2006 Share Incentive Plan and the 2011 Share</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0960"/>
          </w:cols>
          <w:pgMar w:left="320" w:top="472" w:right="6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7"/>
          <w:szCs w:val="17"/>
          <w:color w:val="auto"/>
        </w:rPr>
        <w:t>Incentive Plan. All subsequent awards will be issued under the 2021 Share Incentive Plan. Awards previously granted under the 2006 Share Incentive Plan and the 2011 Share Incentive Plan remain subject to the terms and conditions of the 2006 Share Incentive Plan and the 2011 Share Incentive Plan, respectively. As of December 31, 2021, all share options and restricted shares granted under the 2006 Share Incentive Plan had vested. The 2021 Share Incentive Plan provides for an overall plan limit of 145,654,794 shares, representing the maximum aggregate number of shares that may be issued pursuant to all awards granted under the plan, subject to adjustment in accordance with its terms and conditions.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2011 Share Incentive Plan</w:t>
      </w:r>
    </w:p>
    <w:p>
      <w:pPr>
        <w:spacing w:after="0" w:line="122"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 extraordinary general meeting held on October 6, 2011 and became effective upon commencement of dealings in our shares on the HKSE on December 7, 2011. Amendments to the 2011 Share Incentive Plan were approved by our shareholders on</w:t>
      </w:r>
    </w:p>
    <w:p>
      <w:pPr>
        <w:spacing w:after="0" w:line="1" w:lineRule="exact"/>
        <w:rPr>
          <w:sz w:val="20"/>
          <w:szCs w:val="20"/>
          <w:color w:val="auto"/>
        </w:rPr>
      </w:pPr>
    </w:p>
    <w:p>
      <w:pPr>
        <w:ind w:left="300" w:right="40"/>
        <w:spacing w:after="0" w:line="259" w:lineRule="auto"/>
        <w:rPr>
          <w:sz w:val="20"/>
          <w:szCs w:val="20"/>
          <w:color w:val="auto"/>
        </w:rPr>
      </w:pPr>
      <w:r>
        <w:rPr>
          <w:rFonts w:ascii="Times New Roman" w:cs="Times New Roman" w:eastAsia="Times New Roman" w:hAnsi="Times New Roman"/>
          <w:sz w:val="17"/>
          <w:szCs w:val="17"/>
          <w:color w:val="auto"/>
        </w:rPr>
        <w:t>May 20, 2015 and on December 7, 2016. The amendments to our 2011 Share Incentive Plan approved by our shareholders on December 7, 2016 were to, among other things, include provisions relating to share option schemes required by the Rules Governing the Listing of Securities on the HKSE following the consolidation of the financial results of our Company in the financial statements of Melco International as a result of our repurchase of 155,000,000 ordinary shares of our Company (equivalent to 51,666,666 ADSs) from Crown Asia Investments Pty, Ltd. and the subsequent cancelation of such shares and with certain changes in the composition of our board of directors in May 2016. Such provisions in our 2011 Share Incentive Plan required by the HKSE rules have automatically lapsed as the requirements under the HKSE rules are not presently applicable to us. As of December 31, 2025, we have granted (i) share options to subscribe for a total of 44,115,885 shares and (ii) restricted shares in respect of a total of 37,042,344 shares pursuant to the 2011 Share Incentive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paragraphs describe the principal terms included in the 2011 Share Incentive Plan.</w:t>
      </w:r>
    </w:p>
    <w:p>
      <w:pPr>
        <w:spacing w:after="0" w:line="221" w:lineRule="exact"/>
        <w:rPr>
          <w:sz w:val="20"/>
          <w:szCs w:val="20"/>
          <w:color w:val="auto"/>
        </w:rPr>
      </w:pPr>
    </w:p>
    <w:p>
      <w:pPr>
        <w:ind w:left="300" w:right="70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The awards that may be granted under the plan include options, incentive share options, restricted shares,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dividend equivalents, share payments, deferred shares and restricted share units.</w:t>
      </w:r>
    </w:p>
    <w:p>
      <w:pPr>
        <w:spacing w:after="0" w:line="142" w:lineRule="exact"/>
        <w:rPr>
          <w:sz w:val="20"/>
          <w:szCs w:val="20"/>
          <w:color w:val="auto"/>
        </w:rPr>
      </w:pPr>
    </w:p>
    <w:p>
      <w:pPr>
        <w:ind w:left="3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Eligible Participants</w:t>
      </w:r>
      <w:r>
        <w:rPr>
          <w:rFonts w:ascii="Times New Roman" w:cs="Times New Roman" w:eastAsia="Times New Roman" w:hAnsi="Times New Roman"/>
          <w:sz w:val="17"/>
          <w:szCs w:val="17"/>
          <w:color w:val="auto"/>
        </w:rPr>
        <w:t>. We may grant awards to directors, employees and consultants of our Company, any parent or subsidiary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w:t>
      </w:r>
    </w:p>
    <w:p>
      <w:pPr>
        <w:spacing w:after="0" w:line="166" w:lineRule="exact"/>
        <w:rPr>
          <w:sz w:val="20"/>
          <w:szCs w:val="20"/>
          <w:color w:val="auto"/>
        </w:rPr>
      </w:pPr>
    </w:p>
    <w:p>
      <w:pPr>
        <w:ind w:left="300" w:right="12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Option Periods and Payments</w:t>
      </w:r>
      <w:r>
        <w:rPr>
          <w:rFonts w:ascii="Times New Roman" w:cs="Times New Roman" w:eastAsia="Times New Roman" w:hAnsi="Times New Roman"/>
          <w:sz w:val="17"/>
          <w:szCs w:val="17"/>
          <w:color w:val="auto"/>
        </w:rPr>
        <w:t>. Our compensation committee may in its discretion determine, subject to the plan expiration period,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within which shares must be taken up under an option; the minimum period, if any, for which an option must be held before it can be exercised; and the amount, if any, payable on application or acceptance of the option.</w:t>
      </w:r>
    </w:p>
    <w:p>
      <w:pPr>
        <w:spacing w:after="0" w:line="160" w:lineRule="exact"/>
        <w:rPr>
          <w:sz w:val="20"/>
          <w:szCs w:val="20"/>
          <w:color w:val="auto"/>
        </w:rPr>
      </w:pPr>
    </w:p>
    <w:p>
      <w:pPr>
        <w:ind w:left="300" w:right="2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Our compensation committee will administer the 2011 Share Incentive Plan and has the power to, among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actions, 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Awards granted will be evidenced by an award agreement that sets forth the terms, conditions and limitations for each</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award.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Our compensation committee may determine the exercise price or purchase price, if any, of any award.</w:t>
      </w:r>
    </w:p>
    <w:p>
      <w:pPr>
        <w:spacing w:after="0" w:line="1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0920"/>
          </w:cols>
          <w:pgMar w:left="320" w:top="472" w:right="6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right="8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Term of Awards. </w:t>
      </w:r>
      <w:r>
        <w:rPr>
          <w:rFonts w:ascii="Times New Roman" w:cs="Times New Roman" w:eastAsia="Times New Roman" w:hAnsi="Times New Roman"/>
          <w:sz w:val="17"/>
          <w:szCs w:val="17"/>
          <w:color w:val="auto"/>
        </w:rPr>
        <w:t>The term of each award shall be stated in the award agreement. If the participant ceases to be eligible for any reason,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w:t>
      </w:r>
    </w:p>
    <w:p>
      <w:pPr>
        <w:spacing w:after="0" w:line="3" w:lineRule="exact"/>
        <w:rPr>
          <w:sz w:val="20"/>
          <w:szCs w:val="20"/>
          <w:color w:val="auto"/>
        </w:rPr>
      </w:pPr>
    </w:p>
    <w:p>
      <w:pPr>
        <w:ind w:left="300" w:right="80" w:hanging="8"/>
        <w:spacing w:after="0" w:line="265" w:lineRule="auto"/>
        <w:tabs>
          <w:tab w:leader="none" w:pos="547"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69"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Change in Control and Corporate Transactions</w:t>
      </w:r>
      <w:r>
        <w:rPr>
          <w:rFonts w:ascii="Times New Roman" w:cs="Times New Roman" w:eastAsia="Times New Roman" w:hAnsi="Times New Roman"/>
          <w:sz w:val="17"/>
          <w:szCs w:val="17"/>
          <w:color w:val="auto"/>
        </w:rPr>
        <w:t>. Upon the consummation of a merger or consolidation in which our Company is not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surviving 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75" w:lineRule="exact"/>
        <w:rPr>
          <w:sz w:val="20"/>
          <w:szCs w:val="20"/>
          <w:color w:val="auto"/>
        </w:rPr>
      </w:pPr>
    </w:p>
    <w:p>
      <w:pPr>
        <w:ind w:left="300" w:right="2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With the approval of the Board, our compensation committee may terminate, amend or modify the 2011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68"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The 2011 Share Incentive Plan has been succeeded by the 2021 Share Incentive Plan on December 6, 2021. No awards may be granted pursuant to the 2011 Share Incentive Plan after that time.</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Vesting Schedule</w:t>
      </w:r>
      <w:r>
        <w:rPr>
          <w:rFonts w:ascii="Times New Roman" w:cs="Times New Roman" w:eastAsia="Times New Roman" w:hAnsi="Times New Roman"/>
          <w:sz w:val="17"/>
          <w:szCs w:val="17"/>
          <w:color w:val="auto"/>
        </w:rPr>
        <w:t>. In general, our compensation committee determined, or the award agreement would specify, the vesting schedule.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2021 Share Incentive Plan</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We adopted the 2021 Share Incentive Plan to provide our employees, directors and consultants with incentives to increase shareholder value, and to attract and retain the services of those upon whom we depend for the success of our business. The 2021 Share Incentive Plan was approved by the shareholders of Melco International at its annual general meeting held on June 4, 2021 and became effective on December 6, 2021. The 2021 Share Incentive Plan succeeds the 2011 Share Incentive Plan. Amendments to the 2021 Share Incentive Plan were approved by our Board on May 6, 2024 and the shareholders of Melco International at its annual general meeting held on June 13, 2024 and became effective on June 13, 2024. The amendments were made to bring our 2021 Share Incentive Plan in line with the amended Chapter 17 of the Rules Governing the Listing of Securities on the HKSE. As of December 31, 2025, we have granted (i) share options to subscribe for a total of 8,901,180 shares and (ii) restricted shares in respect of a total of 68,477,538 shares pursuant to the 2021 Share Incentive Plan.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paragraphs describe the principal terms of the 2021 Share Incentive Plan.</w:t>
      </w:r>
    </w:p>
    <w:p>
      <w:pPr>
        <w:spacing w:after="0" w:line="221" w:lineRule="exact"/>
        <w:rPr>
          <w:sz w:val="20"/>
          <w:szCs w:val="20"/>
          <w:color w:val="auto"/>
        </w:rPr>
      </w:pPr>
    </w:p>
    <w:p>
      <w:pPr>
        <w:ind w:left="300" w:right="72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The awards that may be granted under the plan include options, incentive share options, restricted shares,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dividend equivalents, share payments, deferred shares and restricted share units.</w:t>
      </w:r>
    </w:p>
    <w:p>
      <w:pPr>
        <w:spacing w:after="0" w:line="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0940"/>
          </w:cols>
          <w:pgMar w:left="320" w:top="472" w:right="6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Eligible Participants</w:t>
      </w:r>
      <w:r>
        <w:rPr>
          <w:rFonts w:ascii="Times New Roman" w:cs="Times New Roman" w:eastAsia="Times New Roman" w:hAnsi="Times New Roman"/>
          <w:sz w:val="17"/>
          <w:szCs w:val="17"/>
          <w:color w:val="auto"/>
        </w:rPr>
        <w:t>. We may grant awards to directors, employees and consultants of our Company, any parent or subsidiary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any of our related entities that our board designates as a related entity for the purposes of the 2021 Share Incentive Plan. Our compensation committee may, from time to time, select from among all eligible individuals, those to whom awards shall be granted and shall determine the nature and amount of each award.</w:t>
      </w:r>
    </w:p>
    <w:p>
      <w:pPr>
        <w:spacing w:after="0" w:line="166" w:lineRule="exact"/>
        <w:rPr>
          <w:sz w:val="20"/>
          <w:szCs w:val="20"/>
          <w:color w:val="auto"/>
        </w:rPr>
      </w:pPr>
    </w:p>
    <w:p>
      <w:pPr>
        <w:ind w:left="300" w:right="12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Option Periods and Payments</w:t>
      </w:r>
      <w:r>
        <w:rPr>
          <w:rFonts w:ascii="Times New Roman" w:cs="Times New Roman" w:eastAsia="Times New Roman" w:hAnsi="Times New Roman"/>
          <w:sz w:val="17"/>
          <w:szCs w:val="17"/>
          <w:color w:val="auto"/>
        </w:rPr>
        <w:t>. Our compensation committee may in its discretion determine, subject to the plan expiration period,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within which shares must be taken up under an option; the minimum period, if any, for which an option must be held before it can be exercised; and the amount, if any, payable on application or acceptance of the option.</w:t>
      </w:r>
    </w:p>
    <w:p>
      <w:pPr>
        <w:spacing w:after="0" w:line="160" w:lineRule="exact"/>
        <w:rPr>
          <w:sz w:val="20"/>
          <w:szCs w:val="20"/>
          <w:color w:val="auto"/>
        </w:rPr>
      </w:pPr>
    </w:p>
    <w:p>
      <w:pPr>
        <w:ind w:left="300" w:right="2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Our compensation committee will administer the 2021 Share Incentive Plan and has the power to, among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actions, designate eligible participants, determine the number and types of awards to be granted, and set the terms and conditions of each award granted. The Company may also from time to time retain or appoint one or more trustees and administrators to assist in the administration of the 2021 Share Incentive Plan. The compensation committee’s decisions are final, binding, and conclusive for all purposes and upon all parties.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Awards granted will be evidenced by an award agreement that sets forth the terms, conditions and limitations for each</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award.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Our compensation committee may determine the exercise price or purchase price, if any, of any award.</w:t>
      </w:r>
    </w:p>
    <w:p>
      <w:pPr>
        <w:spacing w:after="0" w:line="223"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Term of Awards. </w:t>
      </w:r>
      <w:r>
        <w:rPr>
          <w:rFonts w:ascii="Times New Roman" w:cs="Times New Roman" w:eastAsia="Times New Roman" w:hAnsi="Times New Roman"/>
          <w:sz w:val="17"/>
          <w:szCs w:val="17"/>
          <w:color w:val="auto"/>
        </w:rPr>
        <w:t>The term of each award shall be stated in the award agreement. If the participant ceases to be eligible for any reason,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w:t>
      </w:r>
    </w:p>
    <w:p>
      <w:pPr>
        <w:spacing w:after="0" w:line="3" w:lineRule="exact"/>
        <w:rPr>
          <w:sz w:val="20"/>
          <w:szCs w:val="20"/>
          <w:color w:val="auto"/>
        </w:rPr>
      </w:pPr>
    </w:p>
    <w:p>
      <w:pPr>
        <w:ind w:left="300" w:right="60" w:hanging="8"/>
        <w:spacing w:after="0" w:line="265" w:lineRule="auto"/>
        <w:tabs>
          <w:tab w:leader="none" w:pos="54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69" w:lineRule="exact"/>
        <w:rPr>
          <w:sz w:val="20"/>
          <w:szCs w:val="20"/>
          <w:color w:val="auto"/>
        </w:rPr>
      </w:pPr>
    </w:p>
    <w:p>
      <w:pPr>
        <w:ind w:left="300" w:right="140" w:firstLine="960"/>
        <w:spacing w:after="0" w:line="261" w:lineRule="auto"/>
        <w:rPr>
          <w:sz w:val="20"/>
          <w:szCs w:val="20"/>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Upon the consummation of a merger or consolidation in which our Company is not the surviving entity, a change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w:t>
      </w:r>
    </w:p>
    <w:p>
      <w:pPr>
        <w:spacing w:after="0" w:line="3" w:lineRule="exact"/>
        <w:rPr>
          <w:sz w:val="20"/>
          <w:szCs w:val="20"/>
          <w:color w:val="auto"/>
        </w:rPr>
      </w:pPr>
    </w:p>
    <w:p>
      <w:pPr>
        <w:ind w:left="300" w:right="40"/>
        <w:spacing w:after="0" w:line="265" w:lineRule="auto"/>
        <w:rPr>
          <w:sz w:val="20"/>
          <w:szCs w:val="20"/>
          <w:color w:val="auto"/>
        </w:rPr>
      </w:pPr>
      <w:r>
        <w:rPr>
          <w:rFonts w:ascii="Times New Roman" w:cs="Times New Roman" w:eastAsia="Times New Roman" w:hAnsi="Times New Roman"/>
          <w:sz w:val="17"/>
          <w:szCs w:val="17"/>
          <w:color w:val="auto"/>
        </w:rPr>
        <w:t>13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69" w:lineRule="exact"/>
        <w:rPr>
          <w:sz w:val="20"/>
          <w:szCs w:val="20"/>
          <w:color w:val="auto"/>
        </w:rPr>
      </w:pPr>
    </w:p>
    <w:p>
      <w:pPr>
        <w:ind w:left="300" w:firstLine="9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With the approval of the Board, our compensation committee may terminate, amend or modify the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0920"/>
          </w:cols>
          <w:pgMar w:left="320" w:top="472" w:right="6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Vesting Schedule</w:t>
      </w:r>
      <w:r>
        <w:rPr>
          <w:rFonts w:ascii="Times New Roman" w:cs="Times New Roman" w:eastAsia="Times New Roman" w:hAnsi="Times New Roman"/>
          <w:sz w:val="17"/>
          <w:szCs w:val="17"/>
          <w:color w:val="auto"/>
        </w:rPr>
        <w:t>. In general, our compensation committee determines, or the award agreement would specify, the vesting schedule.</w:t>
      </w:r>
    </w:p>
    <w:p>
      <w:pPr>
        <w:spacing w:after="0" w:line="3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F. DISCLOSURE OF A REGISTRANT’S ACTION TO RECOVER ERRONEOUSLY AWARDED COMPENSATION</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40"/>
          </w:cols>
          <w:pgMar w:left="320" w:top="472" w:right="639" w:bottom="1440" w:gutter="0" w:footer="0" w:header="0"/>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ind w:right="4100"/>
        <w:spacing w:after="0" w:line="643" w:lineRule="auto"/>
        <w:rPr>
          <w:sz w:val="20"/>
          <w:szCs w:val="20"/>
          <w:color w:val="auto"/>
        </w:rPr>
      </w:pPr>
      <w:r>
        <w:rPr>
          <w:rFonts w:ascii="Times New Roman" w:cs="Times New Roman" w:eastAsia="Times New Roman" w:hAnsi="Times New Roman"/>
          <w:sz w:val="17"/>
          <w:szCs w:val="17"/>
          <w:b w:val="1"/>
          <w:bCs w:val="1"/>
          <w:color w:val="auto"/>
        </w:rPr>
        <w:t>MAJOR SHAREHOLDERS AND RELATED PARTY TRANSACTIONS A. MAJOR SHAREHOLDERS</w:t>
      </w:r>
    </w:p>
    <w:p>
      <w:pPr>
        <w:spacing w:after="0" w:line="1" w:lineRule="exact"/>
        <w:rPr>
          <w:sz w:val="20"/>
          <w:szCs w:val="20"/>
          <w:color w:val="auto"/>
        </w:rPr>
      </w:pPr>
    </w:p>
    <w:p>
      <w:pPr>
        <w:sectPr>
          <w:pgSz w:w="11900" w:h="16838" w:orient="portrait"/>
          <w:cols w:equalWidth="0" w:num="2">
            <w:col w:w="920" w:space="440"/>
            <w:col w:w="9580"/>
          </w:cols>
          <w:pgMar w:left="320" w:top="472" w:right="639" w:bottom="1440" w:gutter="0" w:footer="0" w:header="0"/>
          <w:type w:val="continuous"/>
        </w:sect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ordinary shares as of March 6, 2026 by all persons who are known to us to be the beneficial owners of 5% or more of our issued share capital.</w:t>
      </w:r>
    </w:p>
    <w:p>
      <w:pPr>
        <w:spacing w:after="0" w:line="15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0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0" w:type="dxa"/>
            <w:vAlign w:val="bottom"/>
          </w:tcPr>
          <w:p>
            <w:pPr>
              <w:spacing w:after="0"/>
              <w:rPr>
                <w:sz w:val="1"/>
                <w:szCs w:val="1"/>
                <w:color w:val="auto"/>
              </w:rPr>
            </w:pPr>
          </w:p>
        </w:tc>
      </w:tr>
      <w:tr>
        <w:trPr>
          <w:trHeight w:val="168"/>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10"/>
                <w:szCs w:val="10"/>
                <w:b w:val="1"/>
                <w:bCs w:val="1"/>
                <w:color w:val="auto"/>
              </w:rPr>
              <w:t>(1)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060" w:type="dxa"/>
            <w:vAlign w:val="bottom"/>
            <w:gridSpan w:val="2"/>
            <w:vMerge w:val="continue"/>
          </w:tcPr>
          <w:p>
            <w:pPr>
              <w:spacing w:after="0"/>
              <w:rPr>
                <w:sz w:val="10"/>
                <w:szCs w:val="10"/>
                <w:color w:val="auto"/>
              </w:rPr>
            </w:pPr>
          </w:p>
        </w:tc>
        <w:tc>
          <w:tcPr>
            <w:tcW w:w="1400" w:type="dxa"/>
            <w:vAlign w:val="bottom"/>
            <w:gridSpan w:val="2"/>
          </w:tcPr>
          <w:p>
            <w:pPr>
              <w:jc w:val="right"/>
              <w:ind w:right="600"/>
              <w:spacing w:after="0" w:line="124"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jc w:val="right"/>
              <w:ind w:right="117"/>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 xml:space="preserve">Lawrence Yau Lung Ho </w:t>
            </w:r>
            <w:r>
              <w:rPr>
                <w:rFonts w:ascii="Times New Roman" w:cs="Times New Roman" w:eastAsia="Times New Roman" w:hAnsi="Times New Roman"/>
                <w:sz w:val="22"/>
                <w:szCs w:val="22"/>
                <w:color w:val="auto"/>
                <w:vertAlign w:val="superscript"/>
              </w:rPr>
              <w:t>(2)(3)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713,800,992</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color w:val="auto"/>
              </w:rPr>
              <w:t>ARGA Investment Management, LP, et al.</w:t>
            </w:r>
            <w:r>
              <w:rPr>
                <w:rFonts w:ascii="Times New Roman" w:cs="Times New Roman" w:eastAsia="Times New Roman" w:hAnsi="Times New Roman"/>
                <w:sz w:val="24"/>
                <w:szCs w:val="24"/>
                <w:color w:val="auto"/>
                <w:vertAlign w:val="superscript"/>
              </w:rPr>
              <w:t>(4)</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86,275,437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 xml:space="preserve">EuroPacific Growth Fund </w:t>
            </w:r>
            <w:r>
              <w:rPr>
                <w:rFonts w:ascii="Times New Roman" w:cs="Times New Roman" w:eastAsia="Times New Roman" w:hAnsi="Times New Roman"/>
                <w:sz w:val="24"/>
                <w:szCs w:val="24"/>
                <w:color w:val="auto"/>
                <w:vertAlign w:val="superscript"/>
              </w:rPr>
              <w:t>(5)</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81,804,750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31" w:lineRule="exact"/>
        <w:rPr>
          <w:sz w:val="20"/>
          <w:szCs w:val="20"/>
          <w:color w:val="auto"/>
        </w:rPr>
      </w:pPr>
    </w:p>
    <w:p>
      <w:pPr>
        <w:ind w:left="720" w:right="40" w:hanging="428"/>
        <w:spacing w:after="0" w:line="295" w:lineRule="auto"/>
        <w:tabs>
          <w:tab w:leader="none" w:pos="7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Rule 13d-3 under the Exchange Act, and includes voting or investment power with respect to the securities.</w:t>
      </w:r>
    </w:p>
    <w:p>
      <w:pPr>
        <w:spacing w:after="0" w:line="55" w:lineRule="exact"/>
        <w:rPr>
          <w:rFonts w:ascii="Times New Roman" w:cs="Times New Roman" w:eastAsia="Times New Roman" w:hAnsi="Times New Roman"/>
          <w:sz w:val="17"/>
          <w:szCs w:val="17"/>
          <w:color w:val="auto"/>
        </w:rPr>
      </w:pPr>
    </w:p>
    <w:p>
      <w:pPr>
        <w:ind w:left="720" w:right="40" w:hanging="428"/>
        <w:spacing w:after="0" w:line="276" w:lineRule="auto"/>
        <w:tabs>
          <w:tab w:leader="none" w:pos="7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Melco Leisure is c/o 38th Floor, The Centrium, 60 Wyndham Street, Central, Hong Kong. The address of Mr. Lawrence Ho and Melco International is 38th Floor, The Centrium, 60 Wyndham Street, Central, Hong Kong. Melco International is listed on the Main Board of the HKSE.</w:t>
      </w:r>
    </w:p>
    <w:p>
      <w:pPr>
        <w:spacing w:after="0" w:line="70" w:lineRule="exact"/>
        <w:rPr>
          <w:rFonts w:ascii="Times New Roman" w:cs="Times New Roman" w:eastAsia="Times New Roman" w:hAnsi="Times New Roman"/>
          <w:sz w:val="17"/>
          <w:szCs w:val="17"/>
          <w:color w:val="auto"/>
        </w:rPr>
      </w:pPr>
    </w:p>
    <w:p>
      <w:pPr>
        <w:ind w:left="720" w:right="40" w:hanging="428"/>
        <w:spacing w:after="0" w:line="258" w:lineRule="auto"/>
        <w:tabs>
          <w:tab w:leader="none" w:pos="7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(i) 9,934,422 ordinary shares held by Black Spade Capital Limited, which in turn is held by companies owned by a trust associated with Mr. Lawrence Ho; (ii) 13,395,717 ordinary shares personally held by Mr. Lawrence Ho (among which, 12,494,112 are vested restricted shares under the 2011 Share Incentive Plan and the 2021 Share Incentive Plan held by Mr. Lawrence Ho as of March 6, 2026); (iii) 3,109,947 restricted shares that will vest from 60 days of March 6, 2026 held by Mr. Lawrence Ho; and (iv) 687,360,906 ordinary shares owned of record by Melco Leisure. Melco Leisure is a wholly-owned subsidiary of Melco International. As of March 6, 2026, Mr. Lawrence Ho, our chairman, chief executive officer and director as well as the chairman, chief executive officer and executive director of Melco International, personally holds 36,606,126 ordinary shares of Melco International, representing approximately 1.61% of the total issued shares of Melco International. In addition, Mr. Ho is deemed to be interested in the 452,052,909 ordinary shares of Melco International held by Better Joy Overseas Ltd., 183,364,536 ordinary shares of Melco International held by Lasting Legend Ltd., 110,385,517 ordinary shares of Melco International held by Mighty Dragon Developments Limited, 137,167,698 ordinary shares of Melco International held by Black Spade Capital Limited and 1,566,000 ordinary shares of Melco International held by Maple Peak Investments Inc., representing approximately 19.87%, 8.06%, 4.85%, 6.03% and</w:t>
      </w:r>
    </w:p>
    <w:p>
      <w:pPr>
        <w:spacing w:after="0" w:line="6" w:lineRule="exact"/>
        <w:rPr>
          <w:rFonts w:ascii="Times New Roman" w:cs="Times New Roman" w:eastAsia="Times New Roman" w:hAnsi="Times New Roman"/>
          <w:sz w:val="17"/>
          <w:szCs w:val="17"/>
          <w:color w:val="auto"/>
        </w:rPr>
      </w:pPr>
    </w:p>
    <w:p>
      <w:pPr>
        <w:ind w:left="7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0.07% of the total issued shares of Melco International, all of which are companies owned or controlled by the persons and/or trusts associated with Mr. Ho. Out of the abovementioned shares, a total of 294,323,553 shares were provided as security to Lucky Life Limited. In addition, Mr. Ho is also deemed to have interests in the 1,075,500 ordinary shares of Melco International held by Lucky Life Limited and 469,842,021 ordinary shares of Melco International held by L3G Holdings Inc. (of which 157,175,834 shares were provided as security to Lucky Life Limited), representing an aggregate of</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0940"/>
          </w:cols>
          <w:pgMar w:left="320" w:top="472" w:right="6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720" w:right="40"/>
        <w:spacing w:after="0" w:line="260" w:lineRule="auto"/>
        <w:rPr>
          <w:sz w:val="20"/>
          <w:szCs w:val="20"/>
          <w:color w:val="auto"/>
        </w:rPr>
      </w:pPr>
      <w:r>
        <w:rPr>
          <w:rFonts w:ascii="Times New Roman" w:cs="Times New Roman" w:eastAsia="Times New Roman" w:hAnsi="Times New Roman"/>
          <w:sz w:val="17"/>
          <w:szCs w:val="17"/>
          <w:color w:val="auto"/>
        </w:rPr>
        <w:t>approximately 20.70% of the total issued shares of Melco International, by virtue of him being one of the beneficiaries of discretionary family trusts for the purpose of the Securities and Futures Ordinance (Chapter 571, the Laws of Hong Kong). Each of Lucky Life Limited and L3G Holdings Inc. is a company controlled by a discretionary family trust with beneficiaries including Mr. Ho and his family members. Moreover, Ms. Lo Sau Yan, Sharen, the spouse of Mr. Ho, personally holds 4,212,102 ordinary shares of Melco International, representing 0.19% of the total issued shares of Melco International. Therefore, we believe that Mr. Ho is or is deemed to be interested in an aggregate of 1,396,272,409 ordinary shares of Melco International, representing approximately 61.37% of the total issued shares of Melco International, including shares Mr. Ho personally holds, shares that he is deemed to be interested in under the Securities and Futures Ordinance (Chapter 571, the Laws of Hong Kong), comprising shares held by the companies which are owned or controlled by the persons and/or trusts associated with him, shares held by companies which are controlled by discretionary family trusts in which he is one of the beneficiaries, and shares held by his spouse. As of March 6, 2026, 667,360,904 of the ordinary shares owned of record by Melco Leisure have been pledged in connection with a US$1 billion, 5-year credit facility entered into in June 2021 (which was subsequently amended, restated, and extended for two years) by, among others, Melco International and Melco Leisure.</w:t>
      </w:r>
    </w:p>
    <w:p>
      <w:pPr>
        <w:spacing w:after="0" w:line="297" w:lineRule="exact"/>
        <w:rPr>
          <w:sz w:val="20"/>
          <w:szCs w:val="20"/>
          <w:color w:val="auto"/>
        </w:rPr>
      </w:pPr>
    </w:p>
    <w:p>
      <w:pPr>
        <w:ind w:left="720" w:right="60" w:hanging="428"/>
        <w:spacing w:after="0" w:line="266" w:lineRule="auto"/>
        <w:tabs>
          <w:tab w:leader="none" w:pos="7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ARGA Investment Management, LP reports shared voting power and shared dispositive power with respect to 86,275,437 ordinary shares of the Company represented by ADSs with Avula Rama Krishna. The addresses of ARGA Investment Management, LP and Avula Rama Krishna are 1010 Washington Blvd., 6th Fl., Stamford, CT 06901333, and c/o ARGA Investment Management, LP, 1010 Washington Blvd., 6th Fl., Stamford, CT 06901, respectively. Information regarding beneficial ownership is based on the information contained in the Schedule 13G filed by ARGA Investment Management, LP and Avula Rama Krishna with the SEC on February 9, 2023.</w:t>
      </w:r>
    </w:p>
    <w:p>
      <w:pPr>
        <w:spacing w:after="0" w:line="79" w:lineRule="exact"/>
        <w:rPr>
          <w:rFonts w:ascii="Times New Roman" w:cs="Times New Roman" w:eastAsia="Times New Roman" w:hAnsi="Times New Roman"/>
          <w:sz w:val="17"/>
          <w:szCs w:val="17"/>
          <w:color w:val="auto"/>
        </w:rPr>
      </w:pPr>
    </w:p>
    <w:p>
      <w:pPr>
        <w:ind w:left="720" w:right="20" w:hanging="428"/>
        <w:spacing w:after="0" w:line="269" w:lineRule="auto"/>
        <w:tabs>
          <w:tab w:leader="none" w:pos="7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81,804,750 ordinary shares represented by ADSs. The address of EuroPacific Growth Fund is 333 South Hope Street Los Angeles, California 90071. Information regarding beneficial ownership is based on the information contained in the Schedule 13G filed by EuroPacific Growth Fund with the SEC on February 14, 2019. According to information reported therein, the 81,804,750 ordinary shares may also be reflected in a filing made by Capital Research Global Investors, Capital International Investors, and/or Capital World Investors.</w:t>
      </w:r>
    </w:p>
    <w:p>
      <w:pPr>
        <w:spacing w:after="0" w:line="169" w:lineRule="exact"/>
        <w:rPr>
          <w:sz w:val="20"/>
          <w:szCs w:val="20"/>
          <w:color w:val="auto"/>
        </w:rPr>
      </w:pPr>
    </w:p>
    <w:p>
      <w:pPr>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Other than as provided in the table above, reports filed with or furnished to the SEC, public disclosure, including without limitation Schedule 13 filings, and this Annual Report, we are not aware of any significant change in the percentage ownership held by any major shareholder since January 1, 2023.</w:t>
      </w:r>
    </w:p>
    <w:p>
      <w:pPr>
        <w:spacing w:after="0" w:line="162"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As of December 31, 2025, a total of 1,220,376,014 ordinary shares were outstanding, of which 524,913,131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See “Item 4. Information on the Company — C. Organizational Structure” for our current corporate structure.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RELATED PARTY TRANSACTIONS</w:t>
      </w:r>
    </w:p>
    <w:p>
      <w:pPr>
        <w:spacing w:after="0" w:line="225"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For discussion of significant related party transactions we entered into during the years ended December 31, 2025, 2024 and 2023, see note 21 to the consolidated financial statements included elsewhere in this annual report.</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0960"/>
          </w:cols>
          <w:pgMar w:left="320" w:top="472" w:right="6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We have entered into employment agreements with key management and personnel of our Company and our subsidiaries. See “Item 6. Directors, Senior Management and Employees — C. Board Practices — Employment Agreements.”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Equity Incentive Plans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See “Item 6. Directors, Senior Management and Employees — B. Compensation of Directors and Executive Officers.”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80"/>
          </w:cols>
          <w:pgMar w:left="320" w:top="472" w:right="699" w:bottom="1440" w:gutter="0" w:footer="0" w:header="0"/>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00" w:lineRule="exact"/>
        <w:rPr>
          <w:sz w:val="20"/>
          <w:szCs w:val="20"/>
          <w:color w:val="auto"/>
        </w:rPr>
      </w:pPr>
    </w:p>
    <w:p>
      <w:pPr>
        <w:spacing w:after="0" w:line="2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120" w:lineRule="exact"/>
        <w:rPr>
          <w:sz w:val="20"/>
          <w:szCs w:val="20"/>
          <w:color w:val="auto"/>
        </w:rPr>
      </w:pPr>
    </w:p>
    <w:p>
      <w:pPr>
        <w:sectPr>
          <w:pgSz w:w="11900" w:h="16838" w:orient="portrait"/>
          <w:cols w:equalWidth="0" w:num="2">
            <w:col w:w="920" w:space="440"/>
            <w:col w:w="9520"/>
          </w:cols>
          <w:pgMar w:left="320" w:top="472" w:right="69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ectPr>
          <w:pgSz w:w="11900" w:h="16838" w:orient="portrait"/>
          <w:cols w:equalWidth="0" w:num="1">
            <w:col w:w="10880"/>
          </w:cols>
          <w:pgMar w:left="320" w:top="472" w:right="699" w:bottom="1440" w:gutter="0" w:footer="0" w:header="0"/>
          <w:type w:val="continuous"/>
        </w:sect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Legal and Administrative Proceedings</w:t>
      </w:r>
    </w:p>
    <w:p>
      <w:pPr>
        <w:spacing w:after="0" w:line="225" w:lineRule="exact"/>
        <w:rPr>
          <w:sz w:val="20"/>
          <w:szCs w:val="20"/>
          <w:color w:val="auto"/>
        </w:rPr>
      </w:pPr>
    </w:p>
    <w:p>
      <w:pPr>
        <w:jc w:val="both"/>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We are currently a party to certain legal and administrative proceedings, investigations and claims, which relate to matters arising out of the ordinary course of our business. Based on the current status of such proceedings and the information currently available, our management does not believe that the outcome of such proceedings may have, or have had in the recent past, significant effects on our business, financial condition or results of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5"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On May 14, 2020, we announced the suspension of the Company’s quarterly dividend program to preserve liquidity in light of COVID-19 outbreaks and to continue investing in our business. Our board will continue to review from time to time our dividend policy as part of our commitment to maximizing shareholder value, taking into consideration our financial performance and market conditions.</w:t>
      </w:r>
    </w:p>
    <w:p>
      <w:pPr>
        <w:spacing w:after="0" w:line="16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dollars for holders of ordinary shares and U.S. dollars for holders of our ADSs.</w:t>
      </w:r>
    </w:p>
    <w:p>
      <w:pPr>
        <w:spacing w:after="0" w:line="169"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is not available for distribution to the shareholders of the subsidiaries. The appropriation of legal reserve is recorded in the subsidiaries’ financial statements in the year in which it is approved by the shareholders of the relevant subsidiaries. Melco Resorts Macau must notify the Chief Executive of Macau five business days in advance of any decision related to dividend distribution in an amount greater than MOP500 million (equivalent to approximately US$62.4 million).</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0880"/>
          </w:cols>
          <w:pgMar w:left="320" w:top="472" w:right="6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MRM 2015 Credit Facilities, Studio City Notes, SCC 2021 Credit Facilities, SCC 2024 Revolving Facilities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 We cannot assure you that we will make dividend payments in the future.”</w:t>
      </w:r>
    </w:p>
    <w:p>
      <w:pPr>
        <w:spacing w:after="0" w:line="169"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Under the Companies Act (as amended) of the Cayman Islands, subject to the provisions of our amended and restated memorandum and articles of association adopted on March 29, 2017,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SIGNIFICANT CHANGES</w:t>
      </w:r>
    </w:p>
    <w:p>
      <w:pPr>
        <w:spacing w:after="0" w:line="225" w:lineRule="exact"/>
        <w:rPr>
          <w:sz w:val="20"/>
          <w:szCs w:val="20"/>
          <w:color w:val="auto"/>
        </w:rPr>
      </w:pPr>
    </w:p>
    <w:p>
      <w:pPr>
        <w:ind w:left="300" w:right="660" w:firstLine="960"/>
        <w:spacing w:after="0" w:line="295" w:lineRule="auto"/>
        <w:rPr>
          <w:sz w:val="20"/>
          <w:szCs w:val="20"/>
          <w:color w:val="auto"/>
        </w:rPr>
      </w:pPr>
      <w:r>
        <w:rPr>
          <w:rFonts w:ascii="Times New Roman" w:cs="Times New Roman" w:eastAsia="Times New Roman" w:hAnsi="Times New Roman"/>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 except for Item 9.A.4 and Item 9.C.</w:t>
      </w:r>
    </w:p>
    <w:p>
      <w:pPr>
        <w:spacing w:after="0" w:line="22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Our ADSs, each representing three ordinary shares, have been listed on Nasdaq under the symbol “MPEL” from December 19, 2006 to April 5, 2017 and under the symbol “MLCO” since April 6, 2017.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w:t>
      </w:r>
    </w:p>
    <w:p>
      <w:pPr>
        <w:spacing w:after="0" w:line="313"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MEMORANDUM AND ARTICLES OF ASSOCIATION</w:t>
      </w:r>
    </w:p>
    <w:p>
      <w:pPr>
        <w:spacing w:after="0" w:line="120" w:lineRule="exact"/>
        <w:rPr>
          <w:sz w:val="20"/>
          <w:szCs w:val="20"/>
          <w:color w:val="auto"/>
        </w:rPr>
      </w:pPr>
    </w:p>
    <w:p>
      <w:pPr>
        <w:ind w:left="300" w:right="120" w:firstLine="960"/>
        <w:spacing w:after="0" w:line="268" w:lineRule="auto"/>
        <w:rPr>
          <w:sz w:val="20"/>
          <w:szCs w:val="20"/>
          <w:color w:val="auto"/>
        </w:rPr>
      </w:pPr>
      <w:r>
        <w:rPr>
          <w:rFonts w:ascii="Times New Roman" w:cs="Times New Roman" w:eastAsia="Times New Roman" w:hAnsi="Times New Roman"/>
          <w:sz w:val="17"/>
          <w:szCs w:val="17"/>
          <w:color w:val="auto"/>
        </w:rPr>
        <w:t>We are incorporated in the Cayman Islands as an exempted company with limited liability, are registered with the Cayman Islands Registrar of Companies and have been assigned registration number 143119. Article 3 of our amended and restated memorandum of association provides that the objects for which our Company was established are unrestricted and the Company shall have full power and authority to carry out any object not prohibited by any law as provided by Section 7(4) of the Companies Act (as amended) of the Cayman Islands (hereinafter the “Companies Act”).</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Enforceability of Civil Liabilities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are incorporated in the Cayman Islands because of certain benefits associated with being a Cayman Islands exempted company, such</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w:t>
      </w:r>
    </w:p>
    <w:p>
      <w:pPr>
        <w:spacing w:after="0" w:line="113" w:lineRule="exact"/>
        <w:rPr>
          <w:sz w:val="20"/>
          <w:szCs w:val="20"/>
          <w:color w:val="auto"/>
        </w:rPr>
      </w:pPr>
    </w:p>
    <w:p>
      <w:pPr>
        <w:ind w:left="1240" w:hanging="530"/>
        <w:spacing w:after="0"/>
        <w:tabs>
          <w:tab w:leader="none" w:pos="12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stability;</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effective judicial system;</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173</w:t>
      </w:r>
    </w:p>
    <w:p>
      <w:pPr>
        <w:sectPr>
          <w:pgSz w:w="11900" w:h="16838" w:orient="portrait"/>
          <w:cols w:equalWidth="0" w:num="1">
            <w:col w:w="10960"/>
          </w:cols>
          <w:pgMar w:left="320" w:top="472" w:right="6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favorable tax system;</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exchange control or currency restrictions;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professional and support services.</w:t>
      </w:r>
    </w:p>
    <w:p>
      <w:pPr>
        <w:spacing w:after="0" w:line="223"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However, certain disadvantages accompany incorporation in the Cayman Islands. For example, the Cayman Islands has a less developed body of securities laws as compared to the United States and provides fewer protections to investors.</w:t>
      </w:r>
    </w:p>
    <w:p>
      <w:pPr>
        <w:spacing w:after="0" w:line="147"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Virtually all of our assets are located outside of the United States. All of our current operations, and administrative and corporate functions are conducted in Macau, Hong Kong, Singapore, the Philippines, Cyprus and Sri Lanka. In addition, substantially all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Galante, spend a significant amount of time physically located in Hong Kong and/or Macau, and it could be more difficult to enforce liabilities and judgments on those individuals. For the same reasons, it may also be difficult for you to enforce in the Cayman Islands, Macau, Hong Kong, Singapore, the Philippines, Cyprus or Sri Lanka courts judgments obtained in U.S. courts based on the civil liability provisions of the U.S. federal securities laws against our Company and our officers and directors, most of whom are not residents in the United States and the substantial portion of whose assets are located outside of the United States.</w:t>
      </w:r>
    </w:p>
    <w:p>
      <w:pPr>
        <w:spacing w:after="0" w:line="391" w:lineRule="exact"/>
        <w:rPr>
          <w:sz w:val="20"/>
          <w:szCs w:val="20"/>
          <w:color w:val="auto"/>
        </w:rPr>
      </w:pPr>
    </w:p>
    <w:p>
      <w:pPr>
        <w:ind w:left="300" w:firstLine="960"/>
        <w:spacing w:after="0" w:line="258" w:lineRule="auto"/>
        <w:rPr>
          <w:sz w:val="20"/>
          <w:szCs w:val="20"/>
          <w:color w:val="auto"/>
        </w:rPr>
      </w:pPr>
      <w:r>
        <w:rPr>
          <w:rFonts w:ascii="Times New Roman" w:cs="Times New Roman" w:eastAsia="Times New Roman" w:hAnsi="Times New Roman"/>
          <w:sz w:val="17"/>
          <w:szCs w:val="17"/>
          <w:color w:val="auto"/>
        </w:rPr>
        <w:t>In addition, there is uncertainty as to whether the courts of the Cayman Islands, Macau, Hong Kong, Singapore, the Philippines, Cyprus or Sri Lanka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That is to say, upon recognition, a foreign judgment itself would be treated by the courts of Macau as a cause of action in itself so that 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174</w:t>
      </w:r>
    </w:p>
    <w:p>
      <w:pPr>
        <w:sectPr>
          <w:pgSz w:w="11900" w:h="16838" w:orient="portrait"/>
          <w:cols w:equalWidth="0" w:num="1">
            <w:col w:w="10940"/>
          </w:cols>
          <w:pgMar w:left="320" w:top="472" w:right="6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340"/>
        <w:spacing w:after="0" w:line="266" w:lineRule="auto"/>
        <w:rPr>
          <w:sz w:val="20"/>
          <w:szCs w:val="20"/>
          <w:color w:val="auto"/>
        </w:rPr>
      </w:pPr>
      <w:r>
        <w:rPr>
          <w:rFonts w:ascii="Times New Roman" w:cs="Times New Roman" w:eastAsia="Times New Roman" w:hAnsi="Times New Roman"/>
          <w:sz w:val="17"/>
          <w:szCs w:val="17"/>
          <w:color w:val="auto"/>
        </w:rPr>
        <w:t>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71" w:lineRule="exact"/>
        <w:rPr>
          <w:sz w:val="20"/>
          <w:szCs w:val="20"/>
          <w:color w:val="auto"/>
        </w:rPr>
      </w:pPr>
    </w:p>
    <w:p>
      <w:pPr>
        <w:jc w:val="both"/>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Furthermore, it is uncertain whether such Cayman Islands, Macau, Hong Kong, Singapore, Philippines, Cyprus or Sri Lanka courts would be competent to hear original actions brought in the Cayman Islands, Macau, Hong Kong, Singapore, the Philippines, Cyprus or Sri Lanka against us or such persons predicated upon the securities laws of the United States or any state. See “Item 3. Key Information — D Risk Factors — Risks Relating to Our Shares and ADSs — You may have difficulty enforcing judgments obtained against us.”</w:t>
      </w:r>
    </w:p>
    <w:p>
      <w:pPr>
        <w:spacing w:after="0" w:line="169"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The following are summaries of material provisions of our memorandum and articles of association and the Companies Act, insofar as they relate to the material terms of our ordinary shares.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0"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3 of our memorandum of association, the objects for which we were established are unrestricted and we have full power and authority to carry out any object not prohibited by any law as provided by Section 7(4) of the Companies Act.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20"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The holders of our ordinary shares are entitled to such dividends as may be declared by our board of directors subject to the Companies Act and our articles of association. Our articles of association do not provide a time limit after which a shareholder’s entitlement to an unclaimed dividend lapses.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20"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Directors of our Company may be appointed either by an ordinary resolution of the shareholders or by the affirmative vote of all directors. Each director holds office until (i) the expiry of his or her term and until a successor has been elected or appointed, or (ii) until the director’s office is vacated by way of resignation, death, prolonged absence, bankruptcy, disqualification by applicable law, removal by a majority of the directors or removal by the shareholders by special resolution. Our articles of association do not require directors to stand for reelection at staggered intervals.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20"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of the paid up voting share capital of our Company.</w:t>
      </w:r>
    </w:p>
    <w:p>
      <w:pPr>
        <w:spacing w:after="0" w:line="162" w:lineRule="exact"/>
        <w:rPr>
          <w:sz w:val="20"/>
          <w:szCs w:val="20"/>
          <w:color w:val="auto"/>
        </w:rPr>
      </w:pPr>
    </w:p>
    <w:p>
      <w:pPr>
        <w:jc w:val="both"/>
        <w:ind w:left="300" w:firstLine="960"/>
        <w:spacing w:after="0" w:line="266"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one or more shareholders who hold at least one-third of our ordinary shares at the meeting present in person or by proxy or, if a corporation or other non-natural person, by its duly authorized representative. Shareholders’ meetings are held annually and may be convened by our board on its own initiative or upon a request to the directors by shareholders holding in aggregate at least ten percent of our paid-up capital which as at the date of deposit of the requisition carries the right of voting at such meetings. Advance notice of at least seven days is required for the convening of our annual general meeting and other shareholders meetings.</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175</w:t>
      </w:r>
    </w:p>
    <w:p>
      <w:pPr>
        <w:sectPr>
          <w:pgSz w:w="11900" w:h="16838" w:orient="portrait"/>
          <w:cols w:equalWidth="0" w:num="1">
            <w:col w:w="10920"/>
          </w:cols>
          <w:pgMar w:left="320" w:top="472" w:right="6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Transfer of Ordinary Shares</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Subject to the restrictions of our articles of association, as applicable, any of our shareholders may transfer all or any of his or her ordinary shares by an instrument of transfer in the usual or common form or any other form approved by our board.</w:t>
      </w:r>
    </w:p>
    <w:p>
      <w:pPr>
        <w:spacing w:after="0" w:line="147"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Our board may, in its absolute discretion, decline to register any transfer of any ordinary share which is not fully paid up or on which we have a lien. Our directors may also decline to register any transfer of any ordinary share unless:</w:t>
      </w:r>
    </w:p>
    <w:p>
      <w:pPr>
        <w:spacing w:after="0" w:line="55" w:lineRule="exact"/>
        <w:rPr>
          <w:sz w:val="20"/>
          <w:szCs w:val="20"/>
          <w:color w:val="auto"/>
        </w:rPr>
      </w:pPr>
    </w:p>
    <w:p>
      <w:pPr>
        <w:ind w:left="1240" w:right="460" w:hanging="530"/>
        <w:spacing w:after="0" w:line="295" w:lineRule="auto"/>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us, accompanied by the certificate for the ordinary shares to which it relates, and such other evidence as our board may reasonably require to show the right of the transferor to make the transfer;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ordinary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 or</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ordinary share is to be transferred does not exceed four.</w:t>
      </w:r>
    </w:p>
    <w:p>
      <w:pPr>
        <w:spacing w:after="0" w:line="223" w:lineRule="exact"/>
        <w:rPr>
          <w:sz w:val="20"/>
          <w:szCs w:val="20"/>
          <w:color w:val="auto"/>
        </w:rPr>
      </w:pPr>
    </w:p>
    <w:p>
      <w:pPr>
        <w:ind w:left="300" w:right="60" w:firstLine="960"/>
        <w:spacing w:after="0" w:line="268" w:lineRule="auto"/>
        <w:rPr>
          <w:sz w:val="20"/>
          <w:szCs w:val="20"/>
          <w:color w:val="auto"/>
        </w:rPr>
      </w:pPr>
      <w:r>
        <w:rPr>
          <w:rFonts w:ascii="Times New Roman" w:cs="Times New Roman" w:eastAsia="Times New Roman" w:hAnsi="Times New Roman"/>
          <w:sz w:val="17"/>
          <w:szCs w:val="17"/>
          <w:color w:val="auto"/>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120" w:lineRule="exact"/>
        <w:rPr>
          <w:sz w:val="20"/>
          <w:szCs w:val="20"/>
          <w:color w:val="auto"/>
        </w:rPr>
      </w:pPr>
    </w:p>
    <w:p>
      <w:pPr>
        <w:ind w:left="300" w:right="60" w:firstLine="960"/>
        <w:spacing w:after="0" w:line="273" w:lineRule="auto"/>
        <w:rPr>
          <w:sz w:val="20"/>
          <w:szCs w:val="20"/>
          <w:color w:val="auto"/>
        </w:rPr>
      </w:pPr>
      <w:r>
        <w:rPr>
          <w:rFonts w:ascii="Times New Roman" w:cs="Times New Roman" w:eastAsia="Times New Roman" w:hAnsi="Times New Roman"/>
          <w:sz w:val="17"/>
          <w:szCs w:val="17"/>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Calls on Ordinary Shares and Forfeiture of Ordinary Shares</w:t>
      </w:r>
    </w:p>
    <w:p>
      <w:pPr>
        <w:spacing w:after="0" w:line="120"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Redemption of Ordinary Shares</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Subject to the provisions of the Companies Act, we may issue shares on terms that are subject to redemption, at our option or at the option of the holders, on such terms and in such manner as the directors may determine.</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176</w:t>
      </w:r>
    </w:p>
    <w:p>
      <w:pPr>
        <w:sectPr>
          <w:pgSz w:w="11900" w:h="16838" w:orient="portrait"/>
          <w:cols w:equalWidth="0" w:num="1">
            <w:col w:w="10920"/>
          </w:cols>
          <w:pgMar w:left="320" w:top="472" w:right="6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Prohibitions on the Receipt of Dividends, the Exercise of Voting or Other Rights or the Receipt of Other Remuneration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memorandum and articles of association prohibit anyone who is an unsuitable person or an affiliate of an unsuitable person from:</w:t>
      </w:r>
    </w:p>
    <w:p>
      <w:pPr>
        <w:spacing w:after="0" w:line="131" w:lineRule="exact"/>
        <w:rPr>
          <w:sz w:val="20"/>
          <w:szCs w:val="20"/>
          <w:color w:val="auto"/>
        </w:rPr>
      </w:pPr>
    </w:p>
    <w:p>
      <w:pPr>
        <w:ind w:left="1240" w:hanging="530"/>
        <w:spacing w:after="0"/>
        <w:tabs>
          <w:tab w:leader="none" w:pos="12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dividends or interest with regard to our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voting or other rights conferred by our shares;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any remuneration in any form from us or an affiliated company for services rendered or otherwise.</w:t>
      </w:r>
    </w:p>
    <w:p>
      <w:pPr>
        <w:spacing w:after="0" w:line="223"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7"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terms “affiliated companies,” “gaming authority” and “person” have the meanings set forth in our articles of association.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Redemption of Securities Owned or Controlled by an Unsuitable Person or an Affiliate</w:t>
      </w:r>
    </w:p>
    <w:p>
      <w:pPr>
        <w:spacing w:after="0" w:line="120"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85"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177</w:t>
      </w:r>
    </w:p>
    <w:p>
      <w:pPr>
        <w:sectPr>
          <w:pgSz w:w="11900" w:h="16838" w:orient="portrait"/>
          <w:cols w:equalWidth="0" w:num="1">
            <w:col w:w="10940"/>
          </w:cols>
          <w:pgMar w:left="320" w:top="472" w:right="6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Variations of Rights of Shares</w:t>
      </w:r>
    </w:p>
    <w:p>
      <w:pPr>
        <w:spacing w:after="0" w:line="120"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All or any of the rights attached to any class of shares may, subject to the provisions of the Companies Act, be varied or abrogated either with the unanimous written consent of the holders of the issued shares of that class or with the sanction of a special resolution passed at a general meeting of the holders of the shares of that class.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Changes in Capital</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may from time to time by ordinary resolution:</w:t>
      </w:r>
    </w:p>
    <w:p>
      <w:pPr>
        <w:spacing w:after="0" w:line="131" w:lineRule="exact"/>
        <w:rPr>
          <w:sz w:val="20"/>
          <w:szCs w:val="20"/>
          <w:color w:val="auto"/>
        </w:rPr>
      </w:pPr>
    </w:p>
    <w:p>
      <w:pPr>
        <w:ind w:left="1240" w:hanging="530"/>
        <w:spacing w:after="0"/>
        <w:tabs>
          <w:tab w:leader="none" w:pos="12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share capital by such sum, to be divided into shares of such classes and amount, as the resolution may prescribe;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our share capital into shares of a larger amount than our existing shares;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our paid-up shares into stock and reconvert that stock into paid-up shares of any denomination;</w:t>
      </w:r>
    </w:p>
    <w:p>
      <w:pPr>
        <w:spacing w:after="0" w:line="131" w:lineRule="exact"/>
        <w:rPr>
          <w:rFonts w:ascii="Times New Roman" w:cs="Times New Roman" w:eastAsia="Times New Roman" w:hAnsi="Times New Roman"/>
          <w:sz w:val="17"/>
          <w:szCs w:val="17"/>
          <w:color w:val="auto"/>
        </w:rPr>
      </w:pPr>
    </w:p>
    <w:p>
      <w:pPr>
        <w:ind w:left="1240" w:right="60" w:hanging="530"/>
        <w:spacing w:after="0" w:line="276" w:lineRule="auto"/>
        <w:tabs>
          <w:tab w:leader="none" w:pos="12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70" w:lineRule="exact"/>
        <w:rPr>
          <w:rFonts w:ascii="Times New Roman" w:cs="Times New Roman" w:eastAsia="Times New Roman" w:hAnsi="Times New Roman"/>
          <w:sz w:val="17"/>
          <w:szCs w:val="17"/>
          <w:color w:val="auto"/>
        </w:rPr>
      </w:pPr>
    </w:p>
    <w:p>
      <w:pPr>
        <w:ind w:left="1240" w:right="60" w:hanging="530"/>
        <w:spacing w:after="0" w:line="295" w:lineRule="auto"/>
        <w:tabs>
          <w:tab w:leader="none" w:pos="12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our share capital by the amount of the shares so canceled.</w:t>
      </w:r>
    </w:p>
    <w:p>
      <w:pPr>
        <w:spacing w:after="0" w:line="146"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by special resolution reduce our share capital and any capital redemption reserve in any manner authorized by law.</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Accounts and Audit</w:t>
      </w:r>
    </w:p>
    <w:p>
      <w:pPr>
        <w:spacing w:after="0" w:line="120"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No shareholder (other than a director) has any right to inspect any of our accounting records, or books or documents except as conferred by law or authorized by our board or our Company by ordinary resolution of the shareholders.</w:t>
      </w:r>
    </w:p>
    <w:p>
      <w:pPr>
        <w:spacing w:after="0" w:line="147"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7"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Exempted Company</w:t>
      </w:r>
    </w:p>
    <w:p>
      <w:pPr>
        <w:spacing w:after="0" w:line="120"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We are an exempted company with limited liability under the Companies Act. The Companies Act distinguishes between ordinary resident companies and exempted companies. Any company that is registered in</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0920"/>
          </w:cols>
          <w:pgMar w:left="320" w:top="472" w:right="6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20"/>
        <w:spacing w:after="0" w:line="295" w:lineRule="auto"/>
        <w:rPr>
          <w:sz w:val="20"/>
          <w:szCs w:val="20"/>
          <w:color w:val="auto"/>
        </w:rPr>
      </w:pPr>
      <w:r>
        <w:rPr>
          <w:rFonts w:ascii="Times New Roman" w:cs="Times New Roman" w:eastAsia="Times New Roman" w:hAnsi="Times New Roman"/>
          <w:sz w:val="17"/>
          <w:szCs w:val="17"/>
          <w:color w:val="auto"/>
        </w:rPr>
        <w:t>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55" w:lineRule="exact"/>
        <w:rPr>
          <w:sz w:val="20"/>
          <w:szCs w:val="20"/>
          <w:color w:val="auto"/>
        </w:rPr>
      </w:pPr>
    </w:p>
    <w:p>
      <w:pPr>
        <w:ind w:left="1240" w:hanging="530"/>
        <w:spacing w:after="0" w:line="295" w:lineRule="auto"/>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reporting requirements are minimal and consist mainly of a statement that the company has conducted its operations mainly outside of the Cayman Islands and has complied with the provisions of the Companies Act;</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company’s register of members is not open to inspection;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hold an annual general meeting;</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issue shares with no par value;</w:t>
      </w:r>
    </w:p>
    <w:p>
      <w:pPr>
        <w:spacing w:after="0" w:line="131"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obtain an undertaking against the imposition of any future taxation (such undertakings are usually given for 20 years in the first instance);</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by way of continuation in another jurisdiction and be deregistered in the Cayman Islands;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limited duration company;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segregated portfolio company.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Differences in Corporate Law</w:t>
      </w:r>
    </w:p>
    <w:p>
      <w:pPr>
        <w:spacing w:after="0" w:line="120"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p>
    <w:p>
      <w:pPr>
        <w:spacing w:after="0" w:line="122" w:lineRule="exact"/>
        <w:rPr>
          <w:sz w:val="20"/>
          <w:szCs w:val="20"/>
          <w:color w:val="auto"/>
        </w:rPr>
      </w:pPr>
    </w:p>
    <w:p>
      <w:pPr>
        <w:ind w:left="300" w:right="1100" w:firstLine="960"/>
        <w:spacing w:after="0" w:line="295" w:lineRule="auto"/>
        <w:rPr>
          <w:sz w:val="20"/>
          <w:szCs w:val="20"/>
          <w:color w:val="auto"/>
        </w:rPr>
      </w:pPr>
      <w:r>
        <w:rPr>
          <w:rFonts w:ascii="Times New Roman" w:cs="Times New Roman" w:eastAsia="Times New Roman" w:hAnsi="Times New Roman"/>
          <w:sz w:val="17"/>
          <w:szCs w:val="17"/>
          <w:color w:val="auto"/>
        </w:rPr>
        <w:t>The Companies Act permits mergers and consolidations between Cayman Islands companies and between Cayman Islands companies and non-Cayman Islands companies. For these purposes:</w:t>
      </w:r>
    </w:p>
    <w:p>
      <w:pPr>
        <w:spacing w:after="0" w:line="55" w:lineRule="exact"/>
        <w:rPr>
          <w:sz w:val="20"/>
          <w:szCs w:val="20"/>
          <w:color w:val="auto"/>
        </w:rPr>
      </w:pPr>
    </w:p>
    <w:p>
      <w:pPr>
        <w:ind w:left="1240" w:right="20" w:hanging="530"/>
        <w:spacing w:after="0" w:line="295" w:lineRule="auto"/>
        <w:tabs>
          <w:tab w:leader="none" w:pos="12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means the merging of two or more constituent companies and the vesting of their undertaking, property and liabilities in one of such companies as the surviving company; and</w:t>
      </w:r>
    </w:p>
    <w:p>
      <w:pPr>
        <w:spacing w:after="0" w:line="55" w:lineRule="exact"/>
        <w:rPr>
          <w:rFonts w:ascii="Times New Roman" w:cs="Times New Roman" w:eastAsia="Times New Roman" w:hAnsi="Times New Roman"/>
          <w:sz w:val="17"/>
          <w:szCs w:val="17"/>
          <w:color w:val="auto"/>
        </w:rPr>
      </w:pPr>
    </w:p>
    <w:p>
      <w:pPr>
        <w:ind w:left="1240" w:right="540" w:hanging="530"/>
        <w:spacing w:after="0" w:line="295" w:lineRule="auto"/>
        <w:tabs>
          <w:tab w:leader="none" w:pos="12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“consolidation” means the combination of two or more constituent companies into a consolidated company and the vesting of the undertaking, property and liabilities of such companies to the consolidated company.</w:t>
      </w:r>
    </w:p>
    <w:p>
      <w:pPr>
        <w:spacing w:after="0" w:line="147" w:lineRule="exact"/>
        <w:rPr>
          <w:sz w:val="20"/>
          <w:szCs w:val="20"/>
          <w:color w:val="auto"/>
        </w:rPr>
      </w:pPr>
    </w:p>
    <w:p>
      <w:pPr>
        <w:ind w:left="300" w:right="780" w:firstLine="960"/>
        <w:spacing w:after="0" w:line="295" w:lineRule="auto"/>
        <w:rPr>
          <w:sz w:val="20"/>
          <w:szCs w:val="20"/>
          <w:color w:val="auto"/>
        </w:rPr>
      </w:pPr>
      <w:r>
        <w:rPr>
          <w:rFonts w:ascii="Times New Roman" w:cs="Times New Roman" w:eastAsia="Times New Roman" w:hAnsi="Times New Roman"/>
          <w:sz w:val="17"/>
          <w:szCs w:val="17"/>
          <w:color w:val="auto"/>
        </w:rPr>
        <w:t>In order to effect a merger or consolidation, the directors of each constituent company must approve a written plan of merger or consolidation, which must then be authorized by:</w:t>
      </w:r>
    </w:p>
    <w:p>
      <w:pPr>
        <w:spacing w:after="0" w:line="55" w:lineRule="exact"/>
        <w:rPr>
          <w:sz w:val="20"/>
          <w:szCs w:val="20"/>
          <w:color w:val="auto"/>
        </w:rPr>
      </w:pPr>
    </w:p>
    <w:p>
      <w:pPr>
        <w:ind w:left="1240" w:hanging="530"/>
        <w:spacing w:after="0"/>
        <w:tabs>
          <w:tab w:leader="none" w:pos="12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resolution of the shareholders of each constituent company; and</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authorization, if any, as may be specified in such constituent company’s articles of association.</w:t>
      </w:r>
    </w:p>
    <w:p>
      <w:pPr>
        <w:spacing w:after="0" w:line="223" w:lineRule="exact"/>
        <w:rPr>
          <w:sz w:val="20"/>
          <w:szCs w:val="20"/>
          <w:color w:val="auto"/>
        </w:rPr>
      </w:pPr>
    </w:p>
    <w:p>
      <w:pPr>
        <w:jc w:val="both"/>
        <w:ind w:left="300" w:right="280" w:firstLine="960"/>
        <w:spacing w:after="0" w:line="269" w:lineRule="auto"/>
        <w:rPr>
          <w:sz w:val="20"/>
          <w:szCs w:val="20"/>
          <w:color w:val="auto"/>
        </w:rPr>
      </w:pPr>
      <w:r>
        <w:rPr>
          <w:rFonts w:ascii="Times New Roman" w:cs="Times New Roman" w:eastAsia="Times New Roman" w:hAnsi="Times New Roman"/>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69" w:lineRule="exact"/>
        <w:rPr>
          <w:sz w:val="20"/>
          <w:szCs w:val="20"/>
          <w:color w:val="auto"/>
        </w:rPr>
      </w:pPr>
    </w:p>
    <w:p>
      <w:pPr>
        <w:ind w:left="300" w:right="400" w:firstLine="960"/>
        <w:spacing w:after="0" w:line="295" w:lineRule="auto"/>
        <w:rPr>
          <w:sz w:val="20"/>
          <w:szCs w:val="20"/>
          <w:color w:val="auto"/>
        </w:rPr>
      </w:pPr>
      <w:r>
        <w:rPr>
          <w:rFonts w:ascii="Times New Roman" w:cs="Times New Roman" w:eastAsia="Times New Roman" w:hAnsi="Times New Roman"/>
          <w:sz w:val="17"/>
          <w:szCs w:val="17"/>
          <w:color w:val="auto"/>
        </w:rPr>
        <w:t>The plan of merger or consolidation must be filed with the Registrar of Companies in the Cayman Islands together with a declaration (amongst other matters) as to the solvency of the consolidated or surviving</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179</w:t>
      </w:r>
    </w:p>
    <w:p>
      <w:pPr>
        <w:sectPr>
          <w:pgSz w:w="11900" w:h="16838" w:orient="portrait"/>
          <w:cols w:equalWidth="0" w:num="1">
            <w:col w:w="10920"/>
          </w:cols>
          <w:pgMar w:left="320" w:top="472" w:right="6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80"/>
        <w:spacing w:after="0" w:line="264" w:lineRule="auto"/>
        <w:rPr>
          <w:sz w:val="20"/>
          <w:szCs w:val="20"/>
          <w:color w:val="auto"/>
        </w:rPr>
      </w:pPr>
      <w:r>
        <w:rPr>
          <w:rFonts w:ascii="Times New Roman" w:cs="Times New Roman" w:eastAsia="Times New Roman" w:hAnsi="Times New Roman"/>
          <w:sz w:val="17"/>
          <w:szCs w:val="17"/>
          <w:color w:val="auto"/>
        </w:rPr>
        <w:t>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In addition, there are statutory provisions that facilitate compromises or arrangements between a Cayman Islands company and its shareholders (or any class of them). 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w:t>
      </w:r>
    </w:p>
    <w:p>
      <w:pPr>
        <w:spacing w:after="0" w:line="88" w:lineRule="exact"/>
        <w:rPr>
          <w:sz w:val="20"/>
          <w:szCs w:val="20"/>
          <w:color w:val="auto"/>
        </w:rPr>
      </w:pPr>
    </w:p>
    <w:p>
      <w:pPr>
        <w:ind w:left="1240" w:hanging="530"/>
        <w:spacing w:after="0"/>
        <w:tabs>
          <w:tab w:leader="none" w:pos="12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with the directions set down by the Cayman Islands court;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meeting was properly held and the statutory provisions as to the required majority vote have been met;</w:t>
      </w:r>
    </w:p>
    <w:p>
      <w:pPr>
        <w:spacing w:after="0" w:line="131" w:lineRule="exact"/>
        <w:rPr>
          <w:rFonts w:ascii="Times New Roman" w:cs="Times New Roman" w:eastAsia="Times New Roman" w:hAnsi="Times New Roman"/>
          <w:sz w:val="17"/>
          <w:szCs w:val="17"/>
          <w:color w:val="auto"/>
        </w:rPr>
      </w:pPr>
    </w:p>
    <w:p>
      <w:pPr>
        <w:ind w:left="1240" w:right="40" w:hanging="530"/>
        <w:spacing w:after="0" w:line="295" w:lineRule="auto"/>
        <w:tabs>
          <w:tab w:leader="none" w:pos="12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 and the statutory majority are acting bona fide without coercion of the minority to promote interests adverse to those of the class;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his/her interest.</w:t>
      </w:r>
    </w:p>
    <w:p>
      <w:pPr>
        <w:spacing w:after="0" w:line="22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Shareholders’ Suits</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78" w:lineRule="exact"/>
        <w:rPr>
          <w:sz w:val="20"/>
          <w:szCs w:val="20"/>
          <w:color w:val="auto"/>
        </w:rPr>
      </w:pPr>
    </w:p>
    <w:p>
      <w:pPr>
        <w:ind w:left="5500" w:right="3700" w:hanging="4790"/>
        <w:spacing w:after="0" w:line="472" w:lineRule="auto"/>
        <w:tabs>
          <w:tab w:leader="none" w:pos="12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is acting, or proposing to act, illegally or beyond the scope of its authority; 180</w:t>
      </w:r>
    </w:p>
    <w:p>
      <w:pPr>
        <w:sectPr>
          <w:pgSz w:w="11900" w:h="16838" w:orient="portrait"/>
          <w:cols w:equalWidth="0" w:num="1">
            <w:col w:w="10940"/>
          </w:cols>
          <w:pgMar w:left="320" w:top="472" w:right="6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360" w:hanging="530"/>
        <w:spacing w:after="0" w:line="295" w:lineRule="auto"/>
        <w:tabs>
          <w:tab w:leader="none" w:pos="12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complained of, although not beyond the scope of the authority, could be effected if duly authorized by more than the number of votes which have actually been obtained; or</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who control the company are perpetrating a “fraud on the minority.”</w:t>
      </w:r>
    </w:p>
    <w:p>
      <w:pPr>
        <w:spacing w:after="0" w:line="223"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A shareholder may have a direct right of action against the company where the individual rights of that shareholder have been infringed or are about to be infringed.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Directors’ Fiduciary Duties</w:t>
      </w:r>
    </w:p>
    <w:p>
      <w:pPr>
        <w:spacing w:after="0" w:line="122"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4"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5"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Shareholder Action by Written Resolution</w:t>
      </w:r>
    </w:p>
    <w:p>
      <w:pPr>
        <w:spacing w:after="0" w:line="122"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Cumulative Voting</w:t>
      </w:r>
    </w:p>
    <w:p>
      <w:pPr>
        <w:spacing w:after="0" w:line="12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181</w:t>
      </w:r>
    </w:p>
    <w:p>
      <w:pPr>
        <w:sectPr>
          <w:pgSz w:w="11900" w:h="16838" w:orient="portrait"/>
          <w:cols w:equalWidth="0" w:num="1">
            <w:col w:w="10960"/>
          </w:cols>
          <w:pgMar w:left="320" w:top="472" w:right="6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permitted under Cayman Islands law, our memorandum and articles of association do not provide for cumulative voting.</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122" w:lineRule="exact"/>
        <w:rPr>
          <w:sz w:val="20"/>
          <w:szCs w:val="20"/>
          <w:color w:val="auto"/>
        </w:rPr>
      </w:pPr>
    </w:p>
    <w:p>
      <w:pPr>
        <w:ind w:left="300" w:right="72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Under our memorandum and articles of association, directors can be removed by special resolution of the shareholders.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Interested Shareholders</w:t>
      </w:r>
    </w:p>
    <w:p>
      <w:pPr>
        <w:spacing w:after="0" w:line="122"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390" w:lineRule="exact"/>
        <w:rPr>
          <w:sz w:val="20"/>
          <w:szCs w:val="20"/>
          <w:color w:val="auto"/>
        </w:rPr>
      </w:pPr>
    </w:p>
    <w:p>
      <w:pPr>
        <w:jc w:val="both"/>
        <w:ind w:left="300" w:firstLine="960"/>
        <w:spacing w:after="0" w:line="269" w:lineRule="auto"/>
        <w:rPr>
          <w:sz w:val="20"/>
          <w:szCs w:val="20"/>
          <w:color w:val="auto"/>
        </w:rPr>
      </w:pPr>
      <w:r>
        <w:rPr>
          <w:rFonts w:ascii="Times New Roman" w:cs="Times New Roman" w:eastAsia="Times New Roman" w:hAnsi="Times New Roman"/>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Dissolution and Winding Up</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69" w:lineRule="exact"/>
        <w:rPr>
          <w:sz w:val="20"/>
          <w:szCs w:val="20"/>
          <w:color w:val="auto"/>
        </w:rPr>
      </w:pPr>
    </w:p>
    <w:p>
      <w:pPr>
        <w:jc w:val="both"/>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Under our memorandum and articles of association, a resolution that our Company be wound up by the court or be wound up voluntarily shall be a special resolution, except where the company is to be wound up voluntarily because it is unable to pay its debts as they may fall due in which event the resolution shall be an ordinary resolution.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 of Shares</w:t>
      </w:r>
    </w:p>
    <w:p>
      <w:pPr>
        <w:spacing w:after="0" w:line="122"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182</w:t>
      </w:r>
    </w:p>
    <w:p>
      <w:pPr>
        <w:sectPr>
          <w:pgSz w:w="11900" w:h="16838" w:orient="portrait"/>
          <w:cols w:equalWidth="0" w:num="1">
            <w:col w:w="10960"/>
          </w:cols>
          <w:pgMar w:left="320" w:top="472" w:right="6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jc w:val="both"/>
        <w:ind w:left="300" w:right="280" w:firstLine="960"/>
        <w:spacing w:after="0" w:line="269" w:lineRule="auto"/>
        <w:rPr>
          <w:sz w:val="20"/>
          <w:szCs w:val="20"/>
          <w:color w:val="auto"/>
        </w:rPr>
      </w:pPr>
      <w:r>
        <w:rPr>
          <w:rFonts w:ascii="Times New Roman" w:cs="Times New Roman" w:eastAsia="Times New Roman" w:hAnsi="Times New Roman"/>
          <w:sz w:val="17"/>
          <w:szCs w:val="17"/>
          <w:color w:val="auto"/>
        </w:rPr>
        <w:t>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Amendment of Governing Documents</w:t>
      </w:r>
    </w:p>
    <w:p>
      <w:pPr>
        <w:spacing w:after="0" w:line="12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memorandum and articles of association may be amended by a special resolution of shareholders.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Inspection of Books and Records</w:t>
      </w:r>
    </w:p>
    <w:p>
      <w:pPr>
        <w:spacing w:after="0" w:line="122"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any shareholder of a corporation may for any proper purpose inspect or make copies of the corporation’s stock ledger, list of shareholders and other books and records.</w:t>
      </w:r>
    </w:p>
    <w:p>
      <w:pPr>
        <w:spacing w:after="0" w:line="14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Holders of our shares have no general right under Cayman Islands law, nor any right under our memorandum and articles of association, to inspect or obtain copies of our register of members or our corporate records. However, we intend to provide our shareholders with annual reports containing audited financial statements.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Memorandum and Articles of Association</w:t>
      </w:r>
    </w:p>
    <w:p>
      <w:pPr>
        <w:spacing w:after="0" w:line="12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69" w:lineRule="exact"/>
        <w:rPr>
          <w:sz w:val="20"/>
          <w:szCs w:val="20"/>
          <w:color w:val="auto"/>
        </w:rPr>
      </w:pPr>
    </w:p>
    <w:p>
      <w:pPr>
        <w:jc w:val="both"/>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and adversely affected.</w:t>
      </w:r>
    </w:p>
    <w:p>
      <w:pPr>
        <w:spacing w:after="0" w:line="16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Rights of Non-resident or Foreign Shareholders</w:t>
      </w:r>
    </w:p>
    <w:p>
      <w:pPr>
        <w:spacing w:after="0" w:line="122"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“Item 4.</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Information on the Company” and “Item 7. Major Shareholders and Related Party Transactions” or elsewhere in this annual report on Form 20-F.</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183</w:t>
      </w:r>
    </w:p>
    <w:p>
      <w:pPr>
        <w:sectPr>
          <w:pgSz w:w="11900" w:h="16838" w:orient="portrait"/>
          <w:cols w:equalWidth="0" w:num="1">
            <w:col w:w="10940"/>
          </w:cols>
          <w:pgMar w:left="320" w:top="472" w:right="6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25" w:lineRule="exact"/>
        <w:rPr>
          <w:sz w:val="20"/>
          <w:szCs w:val="20"/>
          <w:color w:val="auto"/>
        </w:rPr>
      </w:pPr>
    </w:p>
    <w:p>
      <w:pPr>
        <w:ind w:left="300" w:right="220" w:firstLine="960"/>
        <w:spacing w:after="0" w:line="269" w:lineRule="auto"/>
        <w:rPr>
          <w:sz w:val="20"/>
          <w:szCs w:val="20"/>
          <w:color w:val="auto"/>
        </w:rPr>
      </w:pPr>
      <w:r>
        <w:rPr>
          <w:rFonts w:ascii="Times New Roman" w:cs="Times New Roman" w:eastAsia="Times New Roman" w:hAnsi="Times New Roman"/>
          <w:sz w:val="17"/>
          <w:szCs w:val="17"/>
          <w:color w:val="auto"/>
        </w:rPr>
        <w:t>With regard to our operations in Macau, no foreign exchange controls exist in Macau and Hong Kong and there is a free flow of capital into and out of Macau and Hong Kong. There are no restrictions on remittances of H.K. dollars or any other currency from Macau and Hong Kong to persons not resident in Macau and Hong Kong for the purpose of paying dividends or otherwise. No foreign exchange controls exist in the Cayman Islands.</w:t>
      </w:r>
    </w:p>
    <w:p>
      <w:pPr>
        <w:spacing w:after="0" w:line="169"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With regard to our operations in the Philippines, the Philippines has been liberalizing foreign exchange controls in the country and has adopted a floating exchange rate regime. In any event, the Philippine peso still fluctuates against the H.K. dollar and the U.S. dollar from time to time. Although there are no restrictions or limits on the amounts of the Philippine peso or foreign currency that may be taken in or out of the country, the Bangko Sentral ng Pilipinas (BSP), the Central Bank of the Philippines, imposed a requirement that inward and outward transfers of the Philippine peso in excess of PHP50,000 must be with prior authorization of BSP, while foreign currency in excess of US$10,000 or its equivalent must be declared to the Bureau of Customs Desk at the airport upon arrival or before departure, as the case may be.</w:t>
      </w:r>
    </w:p>
    <w:p>
      <w:pPr>
        <w:spacing w:after="0" w:line="173"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With regard to our operations in Cyprus, no foreign exchange controls exist and there is a free flow of capital into and out of Cyprus. There are no restrictions on remittances of Euros or any other currency from Cyprus to persons not resident in Cyprus for the purpose of paying dividends or otherwise. There are no restrictions on the import or export of local or foreign currency. However, amounts exceeding EUR10,000 (equivalent to approximately US$11,765 in cash (or its equivalent) or in gold must be declared at the Customs and Excise department desk at the control point through which the traveler enters or leaves the Republic of Cyprus.</w:t>
      </w:r>
    </w:p>
    <w:p>
      <w:pPr>
        <w:spacing w:after="0" w:line="171"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With regard to our operations in Sri Lanka, subject to prevalent foreign exchange regulations, international transactions necessitating a transfer of foreign exchange into or from Sri Lanka are generally permitted, subject to facilitating local banks assessing bona fides of the parties and the transaction. Individuals need to make a declaration to Sri Lanka Customs if they arrive to the country carrying an amount of foreign currency exceeding US$15,000 or depart the country carrying an amount exceeding US$10,000.</w:t>
      </w: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 TAXATION</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Cayman Islands Taxation</w:t>
      </w:r>
    </w:p>
    <w:p>
      <w:pPr>
        <w:spacing w:after="0" w:line="120"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1"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 stamp duty is payable in respect of the issue of our ordinary shares or on an instrument of transfer in respect of our ordinary shares.</w:t>
      </w:r>
    </w:p>
    <w:p>
      <w:pPr>
        <w:spacing w:after="0" w:line="1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184</w:t>
      </w:r>
    </w:p>
    <w:p>
      <w:pPr>
        <w:sectPr>
          <w:pgSz w:w="11900" w:h="16838" w:orient="portrait"/>
          <w:cols w:equalWidth="0" w:num="1">
            <w:col w:w="10920"/>
          </w:cols>
          <w:pgMar w:left="320" w:top="472" w:right="6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United States Federal Income Taxation</w:t>
      </w:r>
    </w:p>
    <w:p>
      <w:pPr>
        <w:spacing w:after="0" w:line="120" w:lineRule="exact"/>
        <w:rPr>
          <w:sz w:val="20"/>
          <w:szCs w:val="20"/>
          <w:color w:val="auto"/>
        </w:rPr>
      </w:pPr>
    </w:p>
    <w:p>
      <w:pPr>
        <w:ind w:left="300" w:right="120" w:firstLine="960"/>
        <w:spacing w:after="0" w:line="262" w:lineRule="auto"/>
        <w:rPr>
          <w:sz w:val="20"/>
          <w:szCs w:val="20"/>
          <w:color w:val="auto"/>
        </w:rPr>
      </w:pPr>
      <w:r>
        <w:rPr>
          <w:rFonts w:ascii="Times New Roman" w:cs="Times New Roman" w:eastAsia="Times New Roman" w:hAnsi="Times New Roman"/>
          <w:sz w:val="17"/>
          <w:szCs w:val="17"/>
          <w:color w:val="auto"/>
        </w:rPr>
        <w:t>The following discussion describes certain material U.S. federal income tax consequences to U.S. Holders (as defined below) under present law of an investment in the ADSs or ordinary shares. The effects of any applicable state or local laws and other U.S. federal tax laws such as estate and gift tax laws, and the impact of any alternative minimum tax and the Medicare contribution tax on net investment income, are not discussed. This discussion applies only to U.S. Holders that hold the ADSs or ordinary shares as capital assets within the meaning of Section 1221 of the United States Internal Revenue Code of 1986, as amended, or the Code (generally, property held for investment), and that have the U.S. dollar as their functional currency. This discussion is based on the Code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75"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 following discussion does not address all U.S. federal income tax consequences relevant to a holder’s particular circumstances or to holders subject to particular rules, including:</w:t>
      </w:r>
    </w:p>
    <w:p>
      <w:pPr>
        <w:spacing w:after="0" w:line="55" w:lineRule="exact"/>
        <w:rPr>
          <w:sz w:val="20"/>
          <w:szCs w:val="20"/>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financial institutions;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mark to market;</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and certain former citizens or long-term residents of the United States;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ADSs or ordinary shares as part of a straddle, hedging, conversion or integrated transaction;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10% or more of our stock by vote or value;</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acquired ADSs or ordinary shares pursuant to the exercise of any employee share option or otherwise as compensation;</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ADSs or ordinary shares through a permanent establishment or fixed base outside the United States;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pass-through entities, or persons holding ADSs or ordinary shares through such entities; or</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the ADSs under the constructive sale provisions of the Code.</w:t>
      </w:r>
    </w:p>
    <w:p>
      <w:pPr>
        <w:spacing w:after="0" w:line="325" w:lineRule="exact"/>
        <w:rPr>
          <w:sz w:val="20"/>
          <w:szCs w:val="20"/>
          <w:color w:val="auto"/>
        </w:rPr>
      </w:pPr>
    </w:p>
    <w:p>
      <w:pPr>
        <w:jc w:val="both"/>
        <w:ind w:left="300" w:right="120"/>
        <w:spacing w:after="0" w:line="277" w:lineRule="auto"/>
        <w:rPr>
          <w:sz w:val="20"/>
          <w:szCs w:val="20"/>
          <w:color w:val="auto"/>
        </w:rPr>
      </w:pPr>
      <w:r>
        <w:rPr>
          <w:rFonts w:ascii="Times New Roman" w:cs="Times New Roman" w:eastAsia="Times New Roman" w:hAnsi="Times New Roman"/>
          <w:sz w:val="17"/>
          <w:szCs w:val="17"/>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57"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The discussion below of the U.S. federal income tax consequences to “U.S. Holders” will apply to you if you are the beneficial owner of ADSs or ordinary shares and you are, for U.S. federal income tax purposes,</w:t>
      </w:r>
    </w:p>
    <w:p>
      <w:pPr>
        <w:spacing w:after="0" w:line="55" w:lineRule="exact"/>
        <w:rPr>
          <w:sz w:val="20"/>
          <w:szCs w:val="20"/>
          <w:color w:val="auto"/>
        </w:rPr>
      </w:pPr>
    </w:p>
    <w:p>
      <w:pPr>
        <w:ind w:left="1240" w:hanging="530"/>
        <w:spacing w:after="0"/>
        <w:tabs>
          <w:tab w:leader="none" w:pos="12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31" w:lineRule="exact"/>
        <w:rPr>
          <w:rFonts w:ascii="Times New Roman" w:cs="Times New Roman" w:eastAsia="Times New Roman" w:hAnsi="Times New Roman"/>
          <w:sz w:val="17"/>
          <w:szCs w:val="17"/>
          <w:color w:val="auto"/>
        </w:rPr>
      </w:pPr>
    </w:p>
    <w:p>
      <w:pPr>
        <w:ind w:left="5500" w:hanging="4790"/>
        <w:spacing w:after="0" w:line="472" w:lineRule="auto"/>
        <w:tabs>
          <w:tab w:leader="none" w:pos="12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created or organized in the United States or under the laws of the United States, any state thereof or the District of Columbia; 185</w:t>
      </w:r>
    </w:p>
    <w:p>
      <w:pPr>
        <w:sectPr>
          <w:pgSz w:w="11900" w:h="16838" w:orient="portrait"/>
          <w:cols w:equalWidth="0" w:num="1">
            <w:col w:w="10920"/>
          </w:cols>
          <w:pgMar w:left="320" w:top="472" w:right="6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hanging="530"/>
        <w:spacing w:after="0"/>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31" w:lineRule="exact"/>
        <w:rPr>
          <w:rFonts w:ascii="Times New Roman" w:cs="Times New Roman" w:eastAsia="Times New Roman" w:hAnsi="Times New Roman"/>
          <w:sz w:val="17"/>
          <w:szCs w:val="17"/>
          <w:color w:val="auto"/>
        </w:rPr>
      </w:pPr>
    </w:p>
    <w:p>
      <w:pPr>
        <w:jc w:val="both"/>
        <w:ind w:left="1240" w:right="480" w:hanging="530"/>
        <w:spacing w:after="0" w:line="276" w:lineRule="auto"/>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court within the United States and the control of one or more “United States persons” (within the meaning of Section 7701(a)(30) of the Code) or (2) has a valid election in effect under applicable U.S. Treasury regulations to be treated as a United States person for U.S. federal income tax purposes.</w:t>
      </w:r>
    </w:p>
    <w:p>
      <w:pPr>
        <w:spacing w:after="0" w:line="162" w:lineRule="exact"/>
        <w:rPr>
          <w:sz w:val="20"/>
          <w:szCs w:val="20"/>
          <w:color w:val="auto"/>
        </w:rPr>
      </w:pPr>
    </w:p>
    <w:p>
      <w:pPr>
        <w:jc w:val="both"/>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If you are a partner in an entity or arrangement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6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 Accordingly, deposits or withdrawals of ordinary shares for ADSs should not be subject to U.S. federal income tax.</w:t>
      </w:r>
    </w:p>
    <w:p>
      <w:pPr>
        <w:spacing w:after="0" w:line="169"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availability of a reduced tax rate for any dividends received by certain non-corporate U.S. Holders, including individual U.S. Holders (as discussed below), could be affected by actions taken by intermediaries in the chain of ownership between the holders of ADSs and our Company if as a result of such actions the holders of our ADSs are not properly treated as beneficial owners of underlying ordinary shares.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Taxation of Dividends and Other Distributions on the ADSs or Ordinary Shares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corporations. To the extent the amount of the distribution exceeds our current and accumulated earnings and profits (as determined under U.S. federal income tax principles), it is expected that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74" w:lineRule="exact"/>
        <w:rPr>
          <w:sz w:val="20"/>
          <w:szCs w:val="20"/>
          <w:color w:val="auto"/>
        </w:rPr>
      </w:pPr>
    </w:p>
    <w:p>
      <w:pPr>
        <w:ind w:left="300" w:right="160" w:firstLine="960"/>
        <w:spacing w:after="0" w:line="262" w:lineRule="auto"/>
        <w:rPr>
          <w:sz w:val="20"/>
          <w:szCs w:val="20"/>
          <w:color w:val="auto"/>
        </w:rPr>
      </w:pPr>
      <w:r>
        <w:rPr>
          <w:rFonts w:ascii="Times New Roman" w:cs="Times New Roman" w:eastAsia="Times New Roman" w:hAnsi="Times New Roman"/>
          <w:sz w:val="17"/>
          <w:szCs w:val="17"/>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 dividend was paid and the preceding taxable year, (3) certain holding period requirements are met, and (4) the U.S. Holder is not under an obligation to make related payments with respect to positions in substantially similar or related property. Although it is not free from doubt, ADSs will generally be considered for purposes of clause (1) above to be readily tradable on an established securities market in the United States if they are listed on the Nasdaq, as are our ADSs. However, there can be no assurance that our ADSs will continue to be readily tradable on an established securities market in later years. Consequently, there can be no assurance that dividends paid on</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186</w:t>
      </w:r>
    </w:p>
    <w:p>
      <w:pPr>
        <w:sectPr>
          <w:pgSz w:w="11900" w:h="16838" w:orient="portrait"/>
          <w:cols w:equalWidth="0" w:num="1">
            <w:col w:w="10960"/>
          </w:cols>
          <w:pgMar w:left="320" w:top="472" w:right="6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76" w:lineRule="auto"/>
        <w:rPr>
          <w:sz w:val="20"/>
          <w:szCs w:val="20"/>
          <w:color w:val="auto"/>
        </w:rPr>
      </w:pPr>
      <w:r>
        <w:rPr>
          <w:rFonts w:ascii="Times New Roman" w:cs="Times New Roman" w:eastAsia="Times New Roman" w:hAnsi="Times New Roman"/>
          <w:sz w:val="17"/>
          <w:szCs w:val="17"/>
          <w:color w:val="auto"/>
        </w:rPr>
        <w:t>our ADSs will continue to qualify for the reduced tax rates. Our ordinary shares are not currently listed on an established securities market in the United States. You should consult your tax advisors regarding the availability of the lower capital gains rate applicable to qualified dividend income for any dividends paid with respect to our ADSs or ordinary shares.</w:t>
      </w:r>
    </w:p>
    <w:p>
      <w:pPr>
        <w:spacing w:after="0" w:line="162" w:lineRule="exact"/>
        <w:rPr>
          <w:sz w:val="20"/>
          <w:szCs w:val="20"/>
          <w:color w:val="auto"/>
        </w:rPr>
      </w:pPr>
    </w:p>
    <w:p>
      <w:pPr>
        <w:ind w:left="300" w:right="60" w:firstLine="960"/>
        <w:spacing w:after="0" w:line="260" w:lineRule="auto"/>
        <w:rPr>
          <w:sz w:val="20"/>
          <w:szCs w:val="20"/>
          <w:color w:val="auto"/>
        </w:rPr>
      </w:pPr>
      <w:r>
        <w:rPr>
          <w:rFonts w:ascii="Times New Roman" w:cs="Times New Roman" w:eastAsia="Times New Roman" w:hAnsi="Times New Roman"/>
          <w:sz w:val="17"/>
          <w:szCs w:val="17"/>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 Pursuant to applicable United States Treasury regulations, if a U.S. Holder may not be able to claim a foreign tax credit arising from any foreign tax imposed on a distribution on our ADSs or ordinary shares, depending on the nature of such foreign tax, although the IRS has provided temporary relief from the application of certain aspects of these regulations until new guidance or regulations are issued. The rules relating to the determination of the foreign tax credit are complex, and you should consult your tax advisor regarding the availability of a U.S. foreign tax credit in your particular circumstances and the potential impact of the applicable United States Treasury regulations and the temporary IRS guidance.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Taxation of Disposition of ADSs or Ordinary Shares</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Subject to the PFIC rules discussed below, you will recognize taxable gain or loss on a disposition of ADSs or ordinary shares equal to the difference between the amount realized or the ADSs or ordinary shares and your tax basis in the ADSs or ordinary shares. The gain or loss generally will be capital gain or loss. If you are a non-corporate U.S. Holder, including an individual U.S. Holder, that has held the ADSs or ordinary shares for more than one year at the time of the taxable disposition,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w:t>
      </w:r>
    </w:p>
    <w:p>
      <w:pPr>
        <w:spacing w:after="0" w:line="12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Based on the market price of our ADSs and ordinary shares, and the composition of our income and assets, we do not believe we were a PFIC for U.S. federal income tax purposes for our taxable year ended December 31, 2025.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80" w:lineRule="exact"/>
        <w:rPr>
          <w:sz w:val="20"/>
          <w:szCs w:val="20"/>
          <w:color w:val="auto"/>
        </w:rPr>
      </w:pPr>
    </w:p>
    <w:p>
      <w:pPr>
        <w:ind w:left="1240" w:hanging="530"/>
        <w:spacing w:after="0"/>
        <w:tabs>
          <w:tab w:leader="none" w:pos="12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its gross income for such year is passive income (as defined in the relevant provisions of the Code); or</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the value of its assets (generally based on a quarterly average) during such year is attributable to assets that produce passive income or are held for the production of passive income.</w:t>
      </w:r>
    </w:p>
    <w:p>
      <w:pPr>
        <w:spacing w:after="0" w:line="147"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For purposes of determining whether we are a PFIC, we will be treated as owning our proportionate share of the assets and earning our proportionate share of the income of any other corporation in which we own, directly or indirectly, more than 25% (by value) of the stock.</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187</w:t>
      </w:r>
    </w:p>
    <w:p>
      <w:pPr>
        <w:sectPr>
          <w:pgSz w:w="11900" w:h="16838" w:orient="portrait"/>
          <w:cols w:equalWidth="0" w:num="1">
            <w:col w:w="10960"/>
          </w:cols>
          <w:pgMar w:left="320" w:top="472" w:right="6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69"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If we are a PFIC for any taxable year during which you hold ADSs or ordinary shares, we generally will continue to be treated as a PFIC with respect to you for that year and for all succeeding years during which you hold ADSs or ordinary shares (regardless of whether we continue to meet the tests described above), unless we cease to be a PFIC and you make a “deemed sale” election with respect to the ADSs or ordinary shares you hold.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 You are urged to consult your tax advisor about this election.</w:t>
      </w:r>
    </w:p>
    <w:p>
      <w:pPr>
        <w:spacing w:after="0" w:line="17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80" w:lineRule="exact"/>
        <w:rPr>
          <w:sz w:val="20"/>
          <w:szCs w:val="20"/>
          <w:color w:val="auto"/>
        </w:rPr>
      </w:pPr>
    </w:p>
    <w:p>
      <w:pPr>
        <w:ind w:left="1240" w:hanging="530"/>
        <w:spacing w:after="0"/>
        <w:tabs>
          <w:tab w:leader="none" w:pos="12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or recognized gain will be allocated ratably over your holding period for the ADSs or ordinary shares;</w:t>
      </w:r>
    </w:p>
    <w:p>
      <w:pPr>
        <w:spacing w:after="0" w:line="131" w:lineRule="exact"/>
        <w:rPr>
          <w:rFonts w:ascii="Times New Roman" w:cs="Times New Roman" w:eastAsia="Times New Roman" w:hAnsi="Times New Roman"/>
          <w:sz w:val="17"/>
          <w:szCs w:val="17"/>
          <w:color w:val="auto"/>
        </w:rPr>
      </w:pPr>
    </w:p>
    <w:p>
      <w:pPr>
        <w:ind w:left="1240" w:right="280" w:hanging="530"/>
        <w:spacing w:after="0" w:line="295" w:lineRule="auto"/>
        <w:tabs>
          <w:tab w:leader="none" w:pos="12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taxable years in your holding period prior to the first taxable year in which we were a PFIC, will be treated as ordinary income; and</w:t>
      </w:r>
    </w:p>
    <w:p>
      <w:pPr>
        <w:spacing w:after="0" w:line="55" w:lineRule="exact"/>
        <w:rPr>
          <w:rFonts w:ascii="Times New Roman" w:cs="Times New Roman" w:eastAsia="Times New Roman" w:hAnsi="Times New Roman"/>
          <w:sz w:val="17"/>
          <w:szCs w:val="17"/>
          <w:color w:val="auto"/>
        </w:rPr>
      </w:pPr>
    </w:p>
    <w:p>
      <w:pPr>
        <w:ind w:left="1240" w:right="20" w:hanging="530"/>
        <w:spacing w:after="0" w:line="276" w:lineRule="auto"/>
        <w:tabs>
          <w:tab w:leader="none" w:pos="12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other taxable year will be subject to tax at the highest income tax rate in effect for individuals or corporations, as applicable, for each such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6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If we are a PFIC with respect to you for any taxable year, to the extent any of our subsidiaries are also PFICs or we make direct or indirect equity investments in other entities that are PFICs, you will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71" w:lineRule="exact"/>
        <w:rPr>
          <w:sz w:val="20"/>
          <w:szCs w:val="20"/>
          <w:color w:val="auto"/>
        </w:rPr>
      </w:pPr>
    </w:p>
    <w:p>
      <w:pPr>
        <w:ind w:left="300" w:right="160" w:firstLine="960"/>
        <w:spacing w:after="0" w:line="266" w:lineRule="auto"/>
        <w:rPr>
          <w:sz w:val="20"/>
          <w:szCs w:val="20"/>
          <w:color w:val="auto"/>
        </w:rPr>
      </w:pPr>
      <w:r>
        <w:rPr>
          <w:rFonts w:ascii="Times New Roman" w:cs="Times New Roman" w:eastAsia="Times New Roman" w:hAnsi="Times New Roman"/>
          <w:sz w:val="17"/>
          <w:szCs w:val="17"/>
          <w:color w:val="auto"/>
        </w:rPr>
        <w:t>A U.S. Holder of “marketable stock” (as defined below) in a PFIC may make a mark-to-market election for such stock to elect out of the PFIC rules described above regarding excess distributions and recognized gains. If you make an effective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188</w:t>
      </w:r>
    </w:p>
    <w:p>
      <w:pPr>
        <w:sectPr>
          <w:pgSz w:w="11900" w:h="16838" w:orient="portrait"/>
          <w:cols w:equalWidth="0" w:num="1">
            <w:col w:w="10940"/>
          </w:cols>
          <w:pgMar w:left="320" w:top="472" w:right="6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ordinary shares over their fair market value as of the close of the taxable year. However, deductions will be allowable only to the extent of</w:t>
      </w:r>
    </w:p>
    <w:p>
      <w:pPr>
        <w:spacing w:after="0" w:line="32" w:lineRule="exact"/>
        <w:rPr>
          <w:sz w:val="20"/>
          <w:szCs w:val="20"/>
          <w:color w:val="auto"/>
        </w:rPr>
      </w:pPr>
    </w:p>
    <w:p>
      <w:pPr>
        <w:ind w:left="300" w:right="180"/>
        <w:spacing w:after="0" w:line="256" w:lineRule="auto"/>
        <w:rPr>
          <w:sz w:val="20"/>
          <w:szCs w:val="20"/>
          <w:color w:val="auto"/>
        </w:rPr>
      </w:pPr>
      <w:r>
        <w:rPr>
          <w:rFonts w:ascii="Times New Roman" w:cs="Times New Roman" w:eastAsia="Times New Roman" w:hAnsi="Times New Roman"/>
          <w:sz w:val="17"/>
          <w:szCs w:val="17"/>
          <w:color w:val="auto"/>
        </w:rPr>
        <w:t>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w:t>
      </w:r>
    </w:p>
    <w:p>
      <w:pPr>
        <w:spacing w:after="0" w:line="2"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the net mark-to-market gains previously included for such ADSs or ordinary shares. Your basis in the ADSs or ordinary shares will be adjusted to reflect any such income or loss amounts. If you make a mark-to-market election, any distributions we make would generally be subject to the rules discussed above under “— Taxation of Dividends and Other Distributions on the ADSs or Ordinary Shares,” except the lower rate applicable to qualified dividend income would not apply.</w:t>
      </w:r>
    </w:p>
    <w:p>
      <w:pPr>
        <w:spacing w:after="0" w:line="174"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generally is stock that is regularly traded in other than de minimis quantities on at least 15 days during each calendar quarter on a qualified exchange or other market, as defined in applicable U.S. Treasury regulations. Our ADSs are listed on The Nasdaq Global Select Market, or the Nasdaq, which is a qualified exchange or other market for these purposes. Consequently, if the ADSs continue to be listed on Nasdaq and are regularly traded, and you are a holder of ADSs, we</w:t>
      </w:r>
    </w:p>
    <w:p>
      <w:pPr>
        <w:spacing w:after="0" w:line="1" w:lineRule="exact"/>
        <w:rPr>
          <w:sz w:val="20"/>
          <w:szCs w:val="20"/>
          <w:color w:val="auto"/>
        </w:rPr>
      </w:pPr>
    </w:p>
    <w:p>
      <w:pPr>
        <w:ind w:left="300" w:right="60"/>
        <w:spacing w:after="0" w:line="260" w:lineRule="auto"/>
        <w:rPr>
          <w:sz w:val="20"/>
          <w:szCs w:val="20"/>
          <w:color w:val="auto"/>
        </w:rPr>
      </w:pPr>
      <w:r>
        <w:rPr>
          <w:rFonts w:ascii="Times New Roman" w:cs="Times New Roman" w:eastAsia="Times New Roman" w:hAnsi="Times New Roman"/>
          <w:sz w:val="17"/>
          <w:szCs w:val="17"/>
          <w:color w:val="auto"/>
        </w:rPr>
        <w:t>expect the mark-to-market election would be available to you if we were to become a PFIC. There can be no assurance that the ADSs will be “regularly traded” for purposes of the mark-to-market election.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w:t>
      </w:r>
    </w:p>
    <w:p>
      <w:pPr>
        <w:spacing w:after="0" w:line="178"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69"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160" w:lineRule="exact"/>
        <w:rPr>
          <w:sz w:val="20"/>
          <w:szCs w:val="20"/>
          <w:color w:val="auto"/>
        </w:rPr>
      </w:pPr>
    </w:p>
    <w:p>
      <w:pPr>
        <w:ind w:left="300" w:right="18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You are strongly urged to consult your tax advisors regarding the application of the PFIC rules to your investment in ADSs or ordinary shares.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Any dividend payments with respect to ADSs or ordinary shares and proceeds from a sale, exchange or other taxable disposition of ADSs or ordinary shares may be subject to information reporting to the U.S. Internal Revenue Service, or the IRS,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IRS Form W-9. The Company does not assume responsibility for backup withholding. U.S. Holders should consult their tax advisors regarding the application of the U.S. information reporting and backup withholding rules.</w:t>
      </w:r>
    </w:p>
    <w:p>
      <w:pPr>
        <w:spacing w:after="0" w:line="173"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Backup withholding is not an additional tax. Amounts withheld as backup withholding may be credited against your U.S. federal income tax liability, if any, and you may obtain a refund of any excess amounts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189</w:t>
      </w:r>
    </w:p>
    <w:p>
      <w:pPr>
        <w:sectPr>
          <w:pgSz w:w="11900" w:h="16838" w:orient="portrait"/>
          <w:cols w:equalWidth="0" w:num="1">
            <w:col w:w="10940"/>
          </w:cols>
          <w:pgMar w:left="320" w:top="472" w:right="6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60"/>
        <w:spacing w:after="0" w:line="295" w:lineRule="auto"/>
        <w:rPr>
          <w:sz w:val="20"/>
          <w:szCs w:val="20"/>
          <w:color w:val="auto"/>
        </w:rPr>
      </w:pPr>
      <w:r>
        <w:rPr>
          <w:rFonts w:ascii="Times New Roman" w:cs="Times New Roman" w:eastAsia="Times New Roman" w:hAnsi="Times New Roman"/>
          <w:sz w:val="17"/>
          <w:szCs w:val="17"/>
          <w:color w:val="auto"/>
        </w:rPr>
        <w:t>withheld under the backup withholding rules by filing the appropriate claim for refund with the IRS and furnishing any required information in a timely manner.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Information with Respect to Foreign Financial Assets</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U.S. holders that are individuals (and, to the extent provided in regulations, certain entities) that own “specified foreign financial assets,” including possibly the ADSs, with an aggregate value in excess of US$50,000 are generally required to file IRS Form 8938 with information regarding such assets. Depending on the circumstances, higher threshold amounts may apply. Specified foreign financial assets include any financial accounts maintained by foreign financial institutions, as well as any of the following, but only if they are not held in accounts maintained by financial institutions;</w:t>
      </w:r>
    </w:p>
    <w:p>
      <w:pPr>
        <w:spacing w:after="0" w:line="1" w:lineRule="exact"/>
        <w:rPr>
          <w:sz w:val="20"/>
          <w:szCs w:val="20"/>
          <w:color w:val="auto"/>
        </w:rPr>
      </w:pPr>
    </w:p>
    <w:p>
      <w:pPr>
        <w:ind w:left="300" w:right="160" w:hanging="8"/>
        <w:spacing w:after="0" w:line="260" w:lineRule="auto"/>
        <w:tabs>
          <w:tab w:leader="none" w:pos="50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stocks and securities issued by non-U.S. persons, (ii) financial instruments and contracts held for investment that have non-U.S. issuers or counterparties and (iii) interests in non-U.S. entities. If a U.S. holder is subject to this information reporting regime, the failure to timely file IRS Form 8938 may subject the U.S. holder to penalties. In addition to these requirements, U.S. holders may be required to annually file FinCEN Report 114, Report of Foreign Bank and Financial Accounts with the U.S. Department of Treasury. U.S. holders are thus encouraged to consult their U.S. tax advisors with respect to these and other reporting requirements that may apply to their acquisition of the ADSs.</w:t>
      </w:r>
    </w:p>
    <w:p>
      <w:pPr>
        <w:spacing w:after="0" w:line="176" w:lineRule="exact"/>
        <w:rPr>
          <w:sz w:val="20"/>
          <w:szCs w:val="20"/>
          <w:color w:val="auto"/>
        </w:rPr>
      </w:pPr>
    </w:p>
    <w:p>
      <w:pPr>
        <w:ind w:left="300" w:right="28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THE DISCUSSION ABOVE IS A GENERAL DISCUSSION. IT DOES NOT COVER ALL TAX MATTERS THAT MAY BE IMPORTANT TO A PARTICULAR INVESTOR. EACH PROSPECTIVE INVESTOR SHOULD CONSULT ITS TAX ADVISOR ABOUT THE TAX CONSEQUENCES OF AN INVESTMENT IN THE ADSs OR ORDINARY SHARES UNDER THE INVESTOR’S OWN CIRCUMSTANCES.</w:t>
      </w: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2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Copies of reports and other information, when so filed, may be accessed electronically by means of the SEC’s home page on the Internet at http://www.sec.gov.</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190</w:t>
      </w:r>
    </w:p>
    <w:p>
      <w:pPr>
        <w:sectPr>
          <w:pgSz w:w="11900" w:h="16838" w:orient="portrait"/>
          <w:cols w:equalWidth="0" w:num="1">
            <w:col w:w="10940"/>
          </w:cols>
          <w:pgMar w:left="320" w:top="472" w:right="6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Bank. In addition, we intend to post our annual report on our website www.melco-resorts.com. Nasdaq Stock Market Rule 5615(a)(3) permits foreign private issuers like us to follow “home country practice” in certain corporate governance matters. Walkers (Singapore) Limited Liability Partnership, our Cayman Islands counsel, has provided a letter to the Nasdaq certifying that under the Companies Act (as amended) of the Cayman Islands, we are not required to deliver annual reports to our shareholders prior to an annual general meeting.</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 SUBSIDIARY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Market risk is the risk of loss arising from adverse changes in market rates and prices, such as interest rates and foreign currency exchange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rates.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120"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Our exposure to foreign exchange rate risk is associated with the currency of our operations and our indebtedness and as a result of the presentation of our financial statements in U.S. dollars. The majority of our revenues are denominated in H.K. dollars, given the H.K. dollar is the predominant currency used in Macau and is often used interchangeably with the Pataca in Macau, while our expenses are denominated predominantly in Patacas, H.K. dollars, the Philippine pesos, the Euro and Sri Lankan rupees. In addition, a significant portion of our indebtedness, including the Melco Resorts Finance Notes, the Studio City Notes, and certain expenses, have been and are denominated in U.S. dollars, and the costs associated with servicing and repaying such debt will be denominated in U.S. dollars. We also have a certain portion of our assets and liabilities denominated in the Philippine peso, the Euro and Sri Lankan rupees.</w:t>
      </w:r>
    </w:p>
    <w:p>
      <w:pPr>
        <w:spacing w:after="0" w:line="173"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The value of the H.K. dollar, Pataca, the Philippine peso, the Euro and Sri Lankan rupee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Pataca, the Philippine peso, the Euro or the Sri Lankan rupee to the U.S. dollar may have a material adverse effect on our revenues and financial condition.</w:t>
      </w:r>
    </w:p>
    <w:p>
      <w:pPr>
        <w:spacing w:after="0" w:line="173"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We accept foreign currencies from our customers and as of December 31, 2025, in addition to H.K. dollars, Patacas and Philippine pesos, Euros and Sri Lankan rupees, we also hold other foreign currencies. However, any foreign exchange risk exposure associated with those currencies is minimal.</w:t>
      </w:r>
    </w:p>
    <w:p>
      <w:pPr>
        <w:spacing w:after="0" w:line="162"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We have not engaged in hedging transactions with respect to foreign exchange exposure of our revenues and expenses in our day-to-day operations during the year ended December 31, 2025.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 In September 2025, the Group entered into two cross-currency swap arrangements to manage foreign exchange rate risk associated with the interest and principal payments under the 2033 MRF Senior Notes. Under the cross-currency swap arrangement,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191</w:t>
      </w:r>
    </w:p>
    <w:p>
      <w:pPr>
        <w:sectPr>
          <w:pgSz w:w="11900" w:h="16838" w:orient="portrait"/>
          <w:cols w:equalWidth="0" w:num="1">
            <w:col w:w="10940"/>
          </w:cols>
          <w:pgMar w:left="320" w:top="472" w:right="6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100"/>
        <w:spacing w:after="0" w:line="295" w:lineRule="auto"/>
        <w:rPr>
          <w:sz w:val="20"/>
          <w:szCs w:val="20"/>
          <w:color w:val="auto"/>
        </w:rPr>
      </w:pPr>
      <w:r>
        <w:rPr>
          <w:rFonts w:ascii="Times New Roman" w:cs="Times New Roman" w:eastAsia="Times New Roman" w:hAnsi="Times New Roman"/>
          <w:sz w:val="17"/>
          <w:szCs w:val="17"/>
          <w:color w:val="auto"/>
        </w:rPr>
        <w:t>the Group pays interest and principal in H.K. dollars and receives interest and principal in U.S. dollars. We review our overall foreign exchange risk on an ongoing basis.</w:t>
      </w:r>
    </w:p>
    <w:p>
      <w:pPr>
        <w:spacing w:after="0" w:line="147"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See note 10 to the consolidated financial statements included elsewhere in this annual report for further details related to our indebtedness as of December 31, 2025.</w:t>
      </w:r>
    </w:p>
    <w:p>
      <w:pPr>
        <w:spacing w:after="0" w:line="147" w:lineRule="exact"/>
        <w:rPr>
          <w:sz w:val="20"/>
          <w:szCs w:val="20"/>
          <w:color w:val="auto"/>
        </w:rPr>
      </w:pPr>
    </w:p>
    <w:p>
      <w:pPr>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Major currencies in which our cash and bank balances (including restricted cash) are held as of December 31, 2025 were the U.S. dollar, the H.K. dollar, the Philippine peso, the Euro, the Pataca and the Sri Lankan rupee. Based on the cash and bank balances as of December 31, 2025, an assumed 1% change in the exchange rates between currencies other than the U.S. dollar against the U.S. dollar would cause a maximum foreign transaction gain or loss of approximately US$10.2 million for the year ended December 31, 2025.</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Based on the balances of indebtedness denominated in currencies other than U.S. dollars as of December 31, 2025, an assumed 1% change in the exchange rates between currencies other than the U.S. dollar against the U.S. dollar would cause a foreign transaction gain or loss of approximately US$9.7 million for the year ended December 31, 2025.</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20"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Our exposure to interest rate risk is associated with our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69"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As of December 31, 2025, we were subject to fluctuations in HIBOR as a result of our MRM 2015 Credit Facilities, MN1 2020 Revolving Facilities, SCC 2021 Credit Facilities and SCC 2024 Revolving Facilities. As of December 31, 2025, we had four floating-for-fixed interest rate swap agreements with total nominal amount of HK$5.88 billion (equivalent to US$755.7 million) to manage interest rate risk on its loan under the MN1 2020 Revolving Facilities.</w:t>
      </w:r>
    </w:p>
    <w:p>
      <w:pPr>
        <w:spacing w:after="0" w:line="169"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2025, approximately 86% of our total gross indebtedness was based on fixed rates. Based on our December 31, 2025 indebtedness and interest rate swap level, an assumed 100 basis point change in HIBOR would cause our annual interest cost to change by approximately US$2.1 million.</w:t>
      </w:r>
    </w:p>
    <w:p>
      <w:pPr>
        <w:spacing w:after="0" w:line="16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31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192</w:t>
      </w:r>
    </w:p>
    <w:p>
      <w:pPr>
        <w:sectPr>
          <w:pgSz w:w="11900" w:h="16838" w:orient="portrait"/>
          <w:cols w:equalWidth="0" w:num="1">
            <w:col w:w="10920"/>
          </w:cols>
          <w:pgMar w:left="320" w:top="472" w:right="6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25" w:lineRule="exact"/>
        <w:rPr>
          <w:sz w:val="20"/>
          <w:szCs w:val="20"/>
          <w:color w:val="auto"/>
        </w:rPr>
      </w:pPr>
    </w:p>
    <w:p>
      <w:pPr>
        <w:ind w:left="300" w:right="120" w:firstLine="960"/>
        <w:spacing w:after="0" w:line="261" w:lineRule="auto"/>
        <w:rPr>
          <w:sz w:val="20"/>
          <w:szCs w:val="20"/>
          <w:color w:val="auto"/>
        </w:rPr>
      </w:pPr>
      <w:r>
        <w:rPr>
          <w:rFonts w:ascii="Times New Roman" w:cs="Times New Roman" w:eastAsia="Times New Roman" w:hAnsi="Times New Roman"/>
          <w:sz w:val="17"/>
          <w:szCs w:val="17"/>
          <w:color w:val="auto"/>
        </w:rPr>
        <w:t>Persons depositing shares are charged a fee for each issuance of ADSs, including issuances resulting from distributions of shares, share dividends, share splits, bonus distributions and other distributions (except where converted to cash), and for each surrender of ADSs in exchange for deposited securities, including cash distributions made pursuant to a cancellation or withdrawal. The fee in each case is not in excess of US$5.00 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not made pursuant to a cancellation or withdrawal. The depositary may also charge an annual fee not in excess of US$5.00 per 100 ADSs for the operation and maintenance costs in administering the ADSs. Holders of ADSs, beneficial owners of ADSs, persons depositing shares and persons surrendering ADSs for cancellation and withdrawal of deposited securities may also be required to pay the following charges:</w:t>
      </w:r>
    </w:p>
    <w:p>
      <w:pPr>
        <w:spacing w:after="0" w:line="86" w:lineRule="exact"/>
        <w:rPr>
          <w:sz w:val="20"/>
          <w:szCs w:val="20"/>
          <w:color w:val="auto"/>
        </w:rPr>
      </w:pPr>
    </w:p>
    <w:p>
      <w:pPr>
        <w:ind w:left="1240" w:hanging="530"/>
        <w:spacing w:after="0"/>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(including any applicable interest and penalties thereon) and other governmental charges;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 telex, facsimile and electronic transmission and delivery expenses;</w:t>
      </w:r>
    </w:p>
    <w:p>
      <w:pPr>
        <w:spacing w:after="0" w:line="131" w:lineRule="exact"/>
        <w:rPr>
          <w:rFonts w:ascii="Times New Roman" w:cs="Times New Roman" w:eastAsia="Times New Roman" w:hAnsi="Times New Roman"/>
          <w:sz w:val="17"/>
          <w:szCs w:val="17"/>
          <w:color w:val="auto"/>
        </w:rPr>
      </w:pPr>
    </w:p>
    <w:p>
      <w:pPr>
        <w:ind w:left="1240" w:right="120" w:hanging="530"/>
        <w:spacing w:after="0" w:line="276" w:lineRule="auto"/>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7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and charges incurred by the depositary in connection with the conversion of foreign currency;</w:t>
      </w:r>
    </w:p>
    <w:p>
      <w:pPr>
        <w:spacing w:after="0" w:line="131" w:lineRule="exact"/>
        <w:rPr>
          <w:rFonts w:ascii="Times New Roman" w:cs="Times New Roman" w:eastAsia="Times New Roman" w:hAnsi="Times New Roman"/>
          <w:sz w:val="17"/>
          <w:szCs w:val="17"/>
          <w:color w:val="auto"/>
        </w:rPr>
      </w:pPr>
    </w:p>
    <w:p>
      <w:pPr>
        <w:ind w:left="1240" w:right="500" w:hanging="530"/>
        <w:spacing w:after="0" w:line="295" w:lineRule="auto"/>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by the depositary in connection with compliance with exchange control regulations and other regulatory requirements applicable to the shares, deposited securities and ADSs;</w:t>
      </w:r>
    </w:p>
    <w:p>
      <w:pPr>
        <w:spacing w:after="0" w:line="55" w:lineRule="exact"/>
        <w:rPr>
          <w:rFonts w:ascii="Times New Roman" w:cs="Times New Roman" w:eastAsia="Times New Roman" w:hAnsi="Times New Roman"/>
          <w:sz w:val="17"/>
          <w:szCs w:val="17"/>
          <w:color w:val="auto"/>
        </w:rPr>
      </w:pPr>
    </w:p>
    <w:p>
      <w:pPr>
        <w:ind w:left="1240" w:right="560" w:hanging="530"/>
        <w:spacing w:after="0" w:line="295" w:lineRule="auto"/>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by the depositary in connection with the delivery of deposited securities, including any fees of a central depository for securities in the local market, where applicable; and</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fees, charges, costs or expenses that may be incurred by the depositary from time to time.</w:t>
      </w:r>
    </w:p>
    <w:p>
      <w:pPr>
        <w:spacing w:after="0" w:line="223"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Depositary fees payable upon the issuance and cancelation of ADSs are generally paid to the depositary by the brokers receiving the newly issued ADSs from the depositary and by the brokers delivering the ADSs to the depositary for cancelation. Depositary fees payable in connection with distributions of cash or securities to ADS holders and the depositary service fee are charged by the depositary to the holders of record of ADSs as of the applicable ADS record date.</w:t>
      </w:r>
    </w:p>
    <w:p>
      <w:pPr>
        <w:spacing w:after="0" w:line="169" w:lineRule="exact"/>
        <w:rPr>
          <w:sz w:val="20"/>
          <w:szCs w:val="20"/>
          <w:color w:val="auto"/>
        </w:rPr>
      </w:pPr>
    </w:p>
    <w:p>
      <w:pPr>
        <w:jc w:val="both"/>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193</w:t>
      </w:r>
    </w:p>
    <w:p>
      <w:pPr>
        <w:sectPr>
          <w:pgSz w:w="11900" w:h="16838" w:orient="portrait"/>
          <w:cols w:equalWidth="0" w:num="1">
            <w:col w:w="10940"/>
          </w:cols>
          <w:pgMar w:left="320" w:top="472" w:right="6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300"/>
        <w:spacing w:after="0" w:line="295" w:lineRule="auto"/>
        <w:rPr>
          <w:sz w:val="20"/>
          <w:szCs w:val="20"/>
          <w:color w:val="auto"/>
        </w:rPr>
      </w:pPr>
      <w:r>
        <w:rPr>
          <w:rFonts w:ascii="Times New Roman" w:cs="Times New Roman" w:eastAsia="Times New Roman" w:hAnsi="Times New Roman"/>
          <w:sz w:val="17"/>
          <w:szCs w:val="17"/>
          <w:color w:val="auto"/>
        </w:rPr>
        <w:t>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Fees and Other Payments Made by the Depositary to Us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2025, we did not receive any fees or other payments from the depositary.</w:t>
      </w:r>
    </w:p>
    <w:p>
      <w:pPr>
        <w:sectPr>
          <w:pgSz w:w="11900" w:h="16838" w:orient="portrait"/>
          <w:cols w:equalWidth="0" w:num="1">
            <w:col w:w="10920"/>
          </w:cols>
          <w:pgMar w:left="320" w:top="472"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20" w:lineRule="exact"/>
        <w:rPr>
          <w:sz w:val="20"/>
          <w:szCs w:val="20"/>
          <w:color w:val="auto"/>
        </w:rPr>
      </w:pPr>
    </w:p>
    <w:p>
      <w:pPr>
        <w:sectPr>
          <w:pgSz w:w="11900" w:h="16838" w:orient="portrait"/>
          <w:cols w:equalWidth="0" w:num="2">
            <w:col w:w="1000" w:space="360"/>
            <w:col w:w="9560"/>
          </w:cols>
          <w:pgMar w:left="320" w:top="472" w:right="6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1">
            <w:col w:w="10920"/>
          </w:cols>
          <w:pgMar w:left="320" w:top="472" w:right="659" w:bottom="1440" w:gutter="0" w:footer="0" w:header="0"/>
          <w:type w:val="continuous"/>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20" w:lineRule="exact"/>
        <w:rPr>
          <w:sz w:val="20"/>
          <w:szCs w:val="20"/>
          <w:color w:val="auto"/>
        </w:rPr>
      </w:pPr>
    </w:p>
    <w:p>
      <w:pPr>
        <w:sectPr>
          <w:pgSz w:w="11900" w:h="16838" w:orient="portrait"/>
          <w:cols w:equalWidth="0" w:num="2">
            <w:col w:w="1000" w:space="360"/>
            <w:col w:w="9560"/>
          </w:cols>
          <w:pgMar w:left="320" w:top="472" w:right="6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1">
            <w:col w:w="10920"/>
          </w:cols>
          <w:pgMar w:left="320" w:top="472" w:right="659" w:bottom="1440" w:gutter="0" w:footer="0" w:header="0"/>
          <w:type w:val="continuous"/>
        </w:sectPr>
      </w:pP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20" w:lineRule="exact"/>
        <w:rPr>
          <w:sz w:val="20"/>
          <w:szCs w:val="20"/>
          <w:color w:val="auto"/>
        </w:rPr>
      </w:pPr>
    </w:p>
    <w:p>
      <w:pPr>
        <w:ind w:left="300" w:right="260" w:firstLine="960"/>
        <w:spacing w:after="0" w:line="267" w:lineRule="auto"/>
        <w:rPr>
          <w:sz w:val="20"/>
          <w:szCs w:val="20"/>
          <w:color w:val="auto"/>
        </w:rPr>
      </w:pPr>
      <w:r>
        <w:rPr>
          <w:rFonts w:ascii="Times New Roman" w:cs="Times New Roman" w:eastAsia="Times New Roman" w:hAnsi="Times New Roman"/>
          <w:sz w:val="17"/>
          <w:szCs w:val="17"/>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w:t>
      </w:r>
    </w:p>
    <w:p>
      <w:pPr>
        <w:spacing w:after="0" w:line="1" w:lineRule="exact"/>
        <w:rPr>
          <w:sz w:val="20"/>
          <w:szCs w:val="20"/>
          <w:color w:val="auto"/>
        </w:rPr>
      </w:pPr>
    </w:p>
    <w:p>
      <w:pPr>
        <w:jc w:val="both"/>
        <w:ind w:left="300" w:right="160"/>
        <w:spacing w:after="0" w:line="256" w:lineRule="auto"/>
        <w:rPr>
          <w:sz w:val="20"/>
          <w:szCs w:val="20"/>
          <w:color w:val="auto"/>
        </w:rPr>
      </w:pPr>
      <w:r>
        <w:rPr>
          <w:rFonts w:ascii="Times New Roman" w:cs="Times New Roman" w:eastAsia="Times New Roman" w:hAnsi="Times New Roman"/>
          <w:sz w:val="17"/>
          <w:szCs w:val="17"/>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spacing w:after="0" w:line="2"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7"/>
          <w:szCs w:val="17"/>
          <w:color w:val="auto"/>
        </w:rPr>
        <w:t>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20"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Our Company’s management is responsible for establishing and maintaining adequate internal control over financial reporting, as defined in Rules 13a-15(f) and 15d-15(f) of the Exchange Act.</w:t>
      </w:r>
    </w:p>
    <w:p>
      <w:pPr>
        <w:spacing w:after="0" w:line="147"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70" w:lineRule="exact"/>
        <w:rPr>
          <w:sz w:val="20"/>
          <w:szCs w:val="20"/>
          <w:color w:val="auto"/>
        </w:rPr>
      </w:pPr>
    </w:p>
    <w:p>
      <w:pPr>
        <w:ind w:left="1240" w:right="580" w:hanging="530"/>
        <w:spacing w:after="0" w:line="295" w:lineRule="auto"/>
        <w:tabs>
          <w:tab w:leader="none" w:pos="12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our Company’s assets;</w:t>
      </w:r>
    </w:p>
    <w:p>
      <w:pPr>
        <w:spacing w:after="0" w:line="55" w:lineRule="exact"/>
        <w:rPr>
          <w:rFonts w:ascii="Times New Roman" w:cs="Times New Roman" w:eastAsia="Times New Roman" w:hAnsi="Times New Roman"/>
          <w:sz w:val="17"/>
          <w:szCs w:val="17"/>
          <w:color w:val="auto"/>
        </w:rPr>
      </w:pPr>
    </w:p>
    <w:p>
      <w:pPr>
        <w:ind w:left="1240" w:right="160" w:hanging="530"/>
        <w:spacing w:after="0" w:line="276" w:lineRule="auto"/>
        <w:tabs>
          <w:tab w:leader="none" w:pos="12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194</w:t>
      </w:r>
    </w:p>
    <w:p>
      <w:pPr>
        <w:sectPr>
          <w:pgSz w:w="11900" w:h="16838" w:orient="portrait"/>
          <w:cols w:equalWidth="0" w:num="1">
            <w:col w:w="10920"/>
          </w:cols>
          <w:pgMar w:left="320" w:top="472" w:right="65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1240" w:right="240" w:hanging="530"/>
        <w:spacing w:after="0" w:line="295" w:lineRule="auto"/>
        <w:tabs>
          <w:tab w:leader="none" w:pos="12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Company’s assets that could have a material effect on the financial statements.</w:t>
      </w:r>
    </w:p>
    <w:p>
      <w:pPr>
        <w:spacing w:after="0" w:line="14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 xml:space="preserve">Our Company’s management assessed the effectiveness of our Company’s internal control over financial reporting as of December 31, 2025. In making this assessment, our Company’s management used the framework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 xml:space="preserve">Based on this assessment, management concluded that, as of December 31, 2025, our Company’s internal control over financial reporting is effective based on the framework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Our Company’s independent registered public accounting firm’s report on the effectiveness of our internal control over financial reporting appears under “Report of Independent Registered Public Accounting Firm on Internal Control Over Financial Reporting” in their report appearing on pages F-5 to F-6 of this annual report on Form 20-F.</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Changes in Internal Controls Over Financial Reporting</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There were no changes in our Company’s internal control over financial reporting (as such term is defined</w:t>
      </w:r>
    </w:p>
    <w:p>
      <w:pPr>
        <w:spacing w:after="0" w:line="32" w:lineRule="exact"/>
        <w:rPr>
          <w:sz w:val="20"/>
          <w:szCs w:val="20"/>
          <w:color w:val="auto"/>
        </w:rPr>
      </w:pPr>
    </w:p>
    <w:p>
      <w:pPr>
        <w:ind w:left="300" w:right="300"/>
        <w:spacing w:after="0" w:line="273" w:lineRule="auto"/>
        <w:rPr>
          <w:sz w:val="20"/>
          <w:szCs w:val="20"/>
          <w:color w:val="auto"/>
        </w:rPr>
      </w:pPr>
      <w:r>
        <w:rPr>
          <w:rFonts w:ascii="Times New Roman" w:cs="Times New Roman" w:eastAsia="Times New Roman" w:hAnsi="Times New Roman"/>
          <w:sz w:val="17"/>
          <w:szCs w:val="17"/>
          <w:color w:val="auto"/>
        </w:rPr>
        <w:t>in Rules 13a-15(f) and 15d-15(f) under the Exchange Act) during the year ended December 31, 2025 that have materially affected, or are reasonably likely to materially affect, our Company’s internal control over financial reporting.</w:t>
      </w:r>
    </w:p>
    <w:p>
      <w:pPr>
        <w:spacing w:after="0" w:line="30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16A.</w:t>
        <w:tab/>
        <w:t>AUDIT COMMITTEE FINANCIAL EXPERT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board has determined that Mr. John Peter Ben Wang qualifies as “audit committee financial expert” as defined in Item 16A</w:t>
      </w:r>
    </w:p>
    <w:p>
      <w:pPr>
        <w:spacing w:after="0" w:line="32" w:lineRule="exact"/>
        <w:rPr>
          <w:sz w:val="20"/>
          <w:szCs w:val="20"/>
          <w:color w:val="auto"/>
        </w:rPr>
      </w:pPr>
    </w:p>
    <w:p>
      <w:pPr>
        <w:ind w:left="300" w:right="20"/>
        <w:spacing w:after="0" w:line="273" w:lineRule="auto"/>
        <w:rPr>
          <w:sz w:val="20"/>
          <w:szCs w:val="20"/>
          <w:color w:val="auto"/>
        </w:rPr>
      </w:pPr>
      <w:r>
        <w:rPr>
          <w:rFonts w:ascii="Times New Roman" w:cs="Times New Roman" w:eastAsia="Times New Roman" w:hAnsi="Times New Roman"/>
          <w:sz w:val="17"/>
          <w:szCs w:val="17"/>
          <w:color w:val="auto"/>
        </w:rPr>
        <w:t>of Form 20-F. Each of the members of our audit and risk committee satisfies the “independence” requirements of the Nasdaq corporate governance rules and Rule 10A-3 under the Exchange Act. See “Item 6. Directors, Senior Management and Employees.”</w:t>
      </w:r>
    </w:p>
    <w:p>
      <w:pPr>
        <w:spacing w:after="0" w:line="30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16B.</w:t>
        <w:tab/>
        <w:t>CODE OF ETHICS</w:t>
      </w:r>
    </w:p>
    <w:p>
      <w:pPr>
        <w:spacing w:after="0" w:line="120"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We have posted our current code of business conduct and ethics on our website at www.melco-resorts.com.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195</w:t>
      </w:r>
    </w:p>
    <w:p>
      <w:pPr>
        <w:sectPr>
          <w:pgSz w:w="11900" w:h="16838" w:orient="portrait"/>
          <w:cols w:equalWidth="0" w:num="1">
            <w:col w:w="10940"/>
          </w:cols>
          <w:pgMar w:left="320" w:top="472" w:right="6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16C.</w:t>
        <w:tab/>
        <w:t>PRINCIPAL ACCOUNTANT FEES AND SERVICES</w:t>
      </w:r>
    </w:p>
    <w:p>
      <w:pPr>
        <w:spacing w:after="0" w:line="120"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68"/>
        </w:trPr>
        <w:tc>
          <w:tcPr>
            <w:tcW w:w="3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137"/>
        </w:trPr>
        <w:tc>
          <w:tcPr>
            <w:tcW w:w="3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370"/>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1"/>
                <w:szCs w:val="11"/>
                <w:color w:val="auto"/>
              </w:rPr>
            </w:pPr>
          </w:p>
        </w:tc>
      </w:tr>
      <w:tr>
        <w:trPr>
          <w:trHeight w:val="137"/>
        </w:trPr>
        <w:tc>
          <w:tcPr>
            <w:tcW w:w="3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60" w:type="dxa"/>
            <w:vAlign w:val="bottom"/>
          </w:tcPr>
          <w:p>
            <w:pPr>
              <w:spacing w:after="0"/>
              <w:rPr>
                <w:sz w:val="11"/>
                <w:szCs w:val="11"/>
                <w:color w:val="auto"/>
              </w:rPr>
            </w:pPr>
          </w:p>
        </w:tc>
      </w:tr>
      <w:tr>
        <w:trPr>
          <w:trHeight w:val="209"/>
        </w:trPr>
        <w:tc>
          <w:tcPr>
            <w:tcW w:w="37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4"/>
                <w:szCs w:val="24"/>
                <w:color w:val="auto"/>
                <w:vertAlign w:val="superscript"/>
              </w:rPr>
              <w:t>(1)</w:t>
            </w:r>
          </w:p>
        </w:tc>
        <w:tc>
          <w:tcPr>
            <w:tcW w:w="3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rPr>
              <w:t>$  2,533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2,342</w:t>
            </w:r>
          </w:p>
        </w:tc>
      </w:tr>
      <w:tr>
        <w:trPr>
          <w:trHeight w:val="209"/>
        </w:trPr>
        <w:tc>
          <w:tcPr>
            <w:tcW w:w="37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4"/>
                <w:szCs w:val="24"/>
                <w:color w:val="auto"/>
                <w:vertAlign w:val="superscript"/>
              </w:rPr>
              <w:t>(2)</w:t>
            </w:r>
          </w:p>
        </w:tc>
        <w:tc>
          <w:tcPr>
            <w:tcW w:w="3280" w:type="dxa"/>
            <w:vAlign w:val="bottom"/>
            <w:gridSpan w:val="2"/>
          </w:tcPr>
          <w:p>
            <w:pPr>
              <w:jc w:val="right"/>
              <w:ind w:right="170"/>
              <w:spacing w:after="0"/>
              <w:rPr>
                <w:sz w:val="20"/>
                <w:szCs w:val="20"/>
                <w:color w:val="auto"/>
              </w:rPr>
            </w:pPr>
            <w:r>
              <w:rPr>
                <w:rFonts w:ascii="Times New Roman" w:cs="Times New Roman" w:eastAsia="Times New Roman" w:hAnsi="Times New Roman"/>
                <w:sz w:val="17"/>
                <w:szCs w:val="17"/>
                <w:color w:val="auto"/>
              </w:rPr>
              <w:t>220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362</w:t>
            </w:r>
          </w:p>
        </w:tc>
      </w:tr>
      <w:tr>
        <w:trPr>
          <w:trHeight w:val="209"/>
        </w:trPr>
        <w:tc>
          <w:tcPr>
            <w:tcW w:w="37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4"/>
                <w:szCs w:val="24"/>
                <w:color w:val="auto"/>
                <w:vertAlign w:val="superscript"/>
              </w:rPr>
              <w:t>(3)</w:t>
            </w:r>
          </w:p>
        </w:tc>
        <w:tc>
          <w:tcPr>
            <w:tcW w:w="3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rPr>
              <w:t>158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530</w:t>
            </w:r>
          </w:p>
        </w:tc>
      </w:tr>
      <w:tr>
        <w:trPr>
          <w:trHeight w:val="315"/>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6"/>
                <w:szCs w:val="26"/>
                <w:color w:val="auto"/>
                <w:vertAlign w:val="superscript"/>
              </w:rPr>
              <w:t>(4)</w:t>
            </w:r>
          </w:p>
        </w:tc>
        <w:tc>
          <w:tcPr>
            <w:tcW w:w="3280" w:type="dxa"/>
            <w:vAlign w:val="bottom"/>
            <w:gridSpan w:val="2"/>
          </w:tcPr>
          <w:p>
            <w:pPr>
              <w:jc w:val="right"/>
              <w:ind w:right="170"/>
              <w:spacing w:after="0"/>
              <w:rPr>
                <w:sz w:val="20"/>
                <w:szCs w:val="20"/>
                <w:color w:val="auto"/>
              </w:rPr>
            </w:pPr>
            <w:r>
              <w:rPr>
                <w:rFonts w:ascii="Times New Roman" w:cs="Times New Roman" w:eastAsia="Times New Roman" w:hAnsi="Times New Roman"/>
                <w:sz w:val="17"/>
                <w:szCs w:val="17"/>
                <w:color w:val="auto"/>
              </w:rPr>
              <w:t>71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w:t>
            </w:r>
          </w:p>
        </w:tc>
      </w:tr>
    </w:tbl>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2" w:lineRule="exact"/>
        <w:rPr>
          <w:sz w:val="20"/>
          <w:szCs w:val="20"/>
          <w:color w:val="auto"/>
        </w:rPr>
      </w:pPr>
    </w:p>
    <w:p>
      <w:pPr>
        <w:ind w:left="820" w:hanging="528"/>
        <w:spacing w:after="0"/>
        <w:tabs>
          <w:tab w:leader="none" w:pos="8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means the aggregate fees in each of the fiscal years indicated for our calendar year audits.</w:t>
      </w:r>
    </w:p>
    <w:p>
      <w:pPr>
        <w:spacing w:after="0" w:line="113" w:lineRule="exact"/>
        <w:rPr>
          <w:rFonts w:ascii="Times New Roman" w:cs="Times New Roman" w:eastAsia="Times New Roman" w:hAnsi="Times New Roman"/>
          <w:sz w:val="17"/>
          <w:szCs w:val="17"/>
          <w:color w:val="auto"/>
        </w:rPr>
      </w:pPr>
    </w:p>
    <w:p>
      <w:pPr>
        <w:ind w:left="820" w:right="240" w:hanging="528"/>
        <w:spacing w:after="0" w:line="295" w:lineRule="auto"/>
        <w:tabs>
          <w:tab w:leader="none" w:pos="8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primarily include the aggregate fees for professional services provided in connection with issuance of senior notes by the Company and other assurance services.</w:t>
      </w:r>
    </w:p>
    <w:p>
      <w:pPr>
        <w:spacing w:after="0" w:line="55"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include the aggregate fees for tax compliance and tax advice services.</w:t>
      </w:r>
    </w:p>
    <w:p>
      <w:pPr>
        <w:spacing w:after="0" w:line="131" w:lineRule="exact"/>
        <w:rPr>
          <w:rFonts w:ascii="Times New Roman" w:cs="Times New Roman" w:eastAsia="Times New Roman" w:hAnsi="Times New Roman"/>
          <w:sz w:val="17"/>
          <w:szCs w:val="17"/>
          <w:color w:val="auto"/>
        </w:rPr>
      </w:pPr>
    </w:p>
    <w:p>
      <w:pPr>
        <w:ind w:left="820" w:hanging="528"/>
        <w:spacing w:after="0"/>
        <w:tabs>
          <w:tab w:leader="none" w:pos="8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represent an annual charge for an online technical accounting research tool and other advisory service.</w:t>
      </w:r>
    </w:p>
    <w:p>
      <w:pPr>
        <w:spacing w:after="0" w:line="223"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policy of our audit and risk committee is to pre-approve all audit and non-audit services provided by our independent registered public accounting firm, including audit services, audit-related services, tax services and other services.</w:t>
      </w:r>
    </w:p>
    <w:p>
      <w:pPr>
        <w:spacing w:after="0" w:line="147"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For the years ended December 31, 2025 and 2024, none of the total audit-related, tax and all other fees as described above were approved by our audit and risk committee pursuant to paragraph (c)(7)(i)(C) of Rule 2-01 of Regulation S-X, respectively.</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16D.</w:t>
        <w:tab/>
        <w:t>EXEMPTIONS FROM THE LISTING STANDARDS FOR AUDIT COMMITTEES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196</w:t>
      </w:r>
    </w:p>
    <w:p>
      <w:pPr>
        <w:sectPr>
          <w:pgSz w:w="11900" w:h="16838" w:orient="portrait"/>
          <w:cols w:equalWidth="0" w:num="1">
            <w:col w:w="10940"/>
          </w:cols>
          <w:pgMar w:left="320" w:top="472" w:right="6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16E.</w:t>
        <w:tab/>
        <w:t>PURCHASES OF EQUITY SECURITIES BY THE ISSUER AND AFFILIATED PURCHASERS</w:t>
      </w:r>
    </w:p>
    <w:p>
      <w:pPr>
        <w:spacing w:after="0" w:line="120" w:lineRule="exact"/>
        <w:rPr>
          <w:sz w:val="20"/>
          <w:szCs w:val="20"/>
          <w:color w:val="auto"/>
        </w:rPr>
      </w:pPr>
    </w:p>
    <w:p>
      <w:pPr>
        <w:ind w:left="300" w:right="96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information about repurchases made by us and our affiliated purchasers in the fiscal year ended December 31, 2025.</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0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4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0" w:type="dxa"/>
            <w:vAlign w:val="bottom"/>
            <w:gridSpan w:val="2"/>
            <w:vMerge w:val="continue"/>
          </w:tcPr>
          <w:p>
            <w:pPr>
              <w:spacing w:after="0"/>
              <w:rPr>
                <w:sz w:val="12"/>
                <w:szCs w:val="12"/>
                <w:color w:val="auto"/>
              </w:rPr>
            </w:pP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Part of</w:t>
            </w:r>
          </w:p>
        </w:tc>
        <w:tc>
          <w:tcPr>
            <w:tcW w:w="10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4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2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Publicly</w:t>
            </w:r>
          </w:p>
        </w:tc>
        <w:tc>
          <w:tcPr>
            <w:tcW w:w="10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Under Publicly</w:t>
            </w:r>
          </w:p>
        </w:tc>
        <w:tc>
          <w:tcPr>
            <w:tcW w:w="0" w:type="dxa"/>
            <w:vAlign w:val="bottom"/>
          </w:tcPr>
          <w:p>
            <w:pPr>
              <w:spacing w:after="0"/>
              <w:rPr>
                <w:sz w:val="1"/>
                <w:szCs w:val="1"/>
                <w:color w:val="auto"/>
              </w:rPr>
            </w:pPr>
          </w:p>
        </w:tc>
      </w:tr>
      <w:tr>
        <w:trPr>
          <w:trHeight w:val="144"/>
        </w:trPr>
        <w:tc>
          <w:tcPr>
            <w:tcW w:w="5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Per Ordinary</w:t>
            </w:r>
          </w:p>
        </w:tc>
        <w:tc>
          <w:tcPr>
            <w:tcW w:w="134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10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0" w:type="dxa"/>
            <w:vAlign w:val="bottom"/>
          </w:tcPr>
          <w:p>
            <w:pPr>
              <w:spacing w:after="0"/>
              <w:rPr>
                <w:sz w:val="1"/>
                <w:szCs w:val="1"/>
                <w:color w:val="auto"/>
              </w:rPr>
            </w:pPr>
          </w:p>
        </w:tc>
      </w:tr>
      <w:tr>
        <w:trPr>
          <w:trHeight w:val="161"/>
        </w:trPr>
        <w:tc>
          <w:tcPr>
            <w:tcW w:w="5840" w:type="dxa"/>
            <w:vAlign w:val="bottom"/>
            <w:gridSpan w:val="3"/>
            <w:vMerge w:val="continue"/>
          </w:tcPr>
          <w:p>
            <w:pPr>
              <w:spacing w:after="0"/>
              <w:rPr>
                <w:sz w:val="14"/>
                <w:szCs w:val="14"/>
                <w:color w:val="auto"/>
              </w:rPr>
            </w:pPr>
          </w:p>
        </w:tc>
        <w:tc>
          <w:tcPr>
            <w:tcW w:w="12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3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 xml:space="preserve">Program </w:t>
            </w:r>
            <w:r>
              <w:rPr>
                <w:rFonts w:ascii="Times New Roman" w:cs="Times New Roman" w:eastAsia="Times New Roman" w:hAnsi="Times New Roman"/>
                <w:sz w:val="10"/>
                <w:szCs w:val="10"/>
                <w:b w:val="1"/>
                <w:bCs w:val="1"/>
                <w:color w:val="auto"/>
                <w:w w:val="98"/>
              </w:rPr>
              <w:t>(1)</w:t>
            </w:r>
          </w:p>
        </w:tc>
        <w:tc>
          <w:tcPr>
            <w:tcW w:w="10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2025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3,245,439</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1.82</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65,384,124</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382,430,370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8,038,341</w:t>
            </w:r>
          </w:p>
        </w:tc>
        <w:tc>
          <w:tcPr>
            <w:tcW w:w="3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1.78</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73,422,465</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368,098,963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14,566,110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1.79</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87,988,575</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341,985,985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April 2025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66,087,621</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1.66</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154,076,196</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232,260,417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2025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5,098,158</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1.76</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2025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2025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October 2025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2025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159,174,354</w:t>
            </w: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223,289,623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97,035,669</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1.70</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159,174,354</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223,289,623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w:t>
      </w:r>
    </w:p>
    <w:p>
      <w:pPr>
        <w:spacing w:after="0" w:line="131" w:lineRule="exact"/>
        <w:rPr>
          <w:sz w:val="20"/>
          <w:szCs w:val="20"/>
          <w:color w:val="auto"/>
        </w:rPr>
      </w:pPr>
    </w:p>
    <w:p>
      <w:pPr>
        <w:ind w:left="720" w:right="120" w:hanging="428"/>
        <w:spacing w:after="0" w:line="295" w:lineRule="auto"/>
        <w:tabs>
          <w:tab w:leader="none" w:pos="7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total number of ordinary shares purchased under our US$500 million share repurchase program that has been effective for a three-year period commencing on June 2, 2024.</w:t>
      </w:r>
    </w:p>
    <w:p>
      <w:pPr>
        <w:spacing w:after="0" w:line="147" w:lineRule="exact"/>
        <w:rPr>
          <w:sz w:val="20"/>
          <w:szCs w:val="20"/>
          <w:color w:val="auto"/>
        </w:rPr>
      </w:pPr>
    </w:p>
    <w:p>
      <w:pPr>
        <w:ind w:left="300" w:right="520" w:firstLine="960"/>
        <w:spacing w:after="0" w:line="276" w:lineRule="auto"/>
        <w:rPr>
          <w:sz w:val="20"/>
          <w:szCs w:val="20"/>
          <w:color w:val="auto"/>
        </w:rPr>
      </w:pPr>
      <w:r>
        <w:rPr>
          <w:rFonts w:ascii="Times New Roman" w:cs="Times New Roman" w:eastAsia="Times New Roman" w:hAnsi="Times New Roman"/>
          <w:sz w:val="17"/>
          <w:szCs w:val="17"/>
          <w:color w:val="auto"/>
        </w:rPr>
        <w:t>During the period from January 1, 2026 up to March 11, 2026, we repurchased 2,459,799 ordinary shares at an average price of approximately US$1.81 per ordinary share under the 2024 Share Repurchase Program. Following such repurchases, the maximum dollar value of ordinary shares that may yet be purchased under the 2024 Share Repurchase Program is approximately US$218.8 million.</w:t>
      </w:r>
    </w:p>
    <w:p>
      <w:pPr>
        <w:spacing w:after="0" w:line="30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16F.</w:t>
        <w:tab/>
        <w:t>CHANGE IN REGISTRANT’S CERTIFYING ACCOUNTANT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16G.</w:t>
        <w:tab/>
        <w:t>CORPORATE GOVERNANCE</w:t>
      </w:r>
    </w:p>
    <w:p>
      <w:pPr>
        <w:spacing w:after="0" w:line="120"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Nasdaq Stock Market Rule 5615(a)(3) permits foreign private issuers like us to follow “home country practice” in certain corporate governance matters. For example, Nasdaq Stock Market Rule 5605(b)(1) generally requires that a majority of an issuer’s board of directors must consist of independent directors. Since September 5, 2018, we have had a majority of independent directors serving on our board. Prior to that, we relied on this “home country practice” exception when we did not have a majority of independent directors serving on our board.</w:t>
      </w:r>
    </w:p>
    <w:p>
      <w:pPr>
        <w:spacing w:after="0" w:line="169"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In addition, Nasdaq Stock Market Rule 5250(d)(1) requires each issuer to distribute to shareholders copies of an annual report containing audited financial statements of our Company and its subsidiaries a</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197</w:t>
      </w:r>
    </w:p>
    <w:p>
      <w:pPr>
        <w:sectPr>
          <w:pgSz w:w="11900" w:h="16838" w:orient="portrait"/>
          <w:cols w:equalWidth="0" w:num="1">
            <w:col w:w="10960"/>
          </w:cols>
          <w:pgMar w:left="320" w:top="472" w:right="6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7"/>
          <w:szCs w:val="17"/>
          <w:color w:val="auto"/>
        </w:rPr>
        <w:t>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www.melco-resorts.com. Nasdaq Stock Market Rule 5635 also requires each issuer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w:t>
      </w:r>
    </w:p>
    <w:p>
      <w:pPr>
        <w:spacing w:after="0" w:line="171"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Furthermore, Nasdaq Stock Market Rule 5635(b) requires shareholder approval prior to the issuance of securities when a share option plan is to be established pursuant to which shares may be acquired by officers, directors, employees or consultants. We did not obtain such shareholder approval for our 2021 Share Incentive Plan or for amendments to such plan adopted in 2024.</w:t>
      </w:r>
    </w:p>
    <w:p>
      <w:pPr>
        <w:spacing w:after="0" w:line="162" w:lineRule="exact"/>
        <w:rPr>
          <w:sz w:val="20"/>
          <w:szCs w:val="20"/>
          <w:color w:val="auto"/>
        </w:rPr>
      </w:pPr>
    </w:p>
    <w:p>
      <w:pPr>
        <w:ind w:left="300" w:right="200" w:firstLine="960"/>
        <w:spacing w:after="0" w:line="267" w:lineRule="auto"/>
        <w:rPr>
          <w:sz w:val="20"/>
          <w:szCs w:val="20"/>
          <w:color w:val="auto"/>
        </w:rPr>
      </w:pPr>
      <w:r>
        <w:rPr>
          <w:rFonts w:ascii="Times New Roman" w:cs="Times New Roman" w:eastAsia="Times New Roman" w:hAnsi="Times New Roman"/>
          <w:sz w:val="17"/>
          <w:szCs w:val="17"/>
          <w:color w:val="auto"/>
        </w:rPr>
        <w:t>Walkers (Singapore) Limited Liability Partnership, our Cayman Islands counsel, has provided letters to Nasdaq certifying that under the Companies Act (as amended) of the Cayman Islands, we are not required to: (i) have a majority of independent directors serving on our board;</w:t>
      </w:r>
    </w:p>
    <w:p>
      <w:pPr>
        <w:spacing w:after="0" w:line="1" w:lineRule="exact"/>
        <w:rPr>
          <w:sz w:val="20"/>
          <w:szCs w:val="20"/>
          <w:color w:val="auto"/>
        </w:rPr>
      </w:pPr>
    </w:p>
    <w:p>
      <w:pPr>
        <w:ind w:left="300" w:hanging="8"/>
        <w:spacing w:after="0" w:line="265" w:lineRule="auto"/>
        <w:tabs>
          <w:tab w:leader="none" w:pos="55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annual reports to our shareholders prior to an annual general meeting; (iii) obtain shareholders’ approval prior to any issuance of our ordinary shares; or (iv) obtain shareholders’ approval in connection with the adoption of our 2021 Share Incentive Plan or for amendments to such plan adopted in 2024. The foregoing is subject to our memorandum and articles of association, as amended and restated from time to time.</w:t>
      </w:r>
    </w:p>
    <w:p>
      <w:pPr>
        <w:spacing w:after="0" w:line="312"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16H.</w:t>
        <w:tab/>
        <w:t>MINE SAFETY DISCLOSURE</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198</w:t>
      </w:r>
    </w:p>
    <w:p>
      <w:pPr>
        <w:sectPr>
          <w:pgSz w:w="11900" w:h="16838" w:orient="portrait"/>
          <w:cols w:equalWidth="0" w:num="1">
            <w:col w:w="10940"/>
          </w:cols>
          <w:pgMar w:left="320" w:top="472" w:right="6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16J.</w:t>
        <w:tab/>
        <w:t>INSIDER TRADING POLICIES</w:t>
      </w:r>
    </w:p>
    <w:p>
      <w:pPr>
        <w:spacing w:after="0" w:line="120"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Our board of directors has adopted insider trading policies and procedures governing the purchase, sale, and other dispositions of our securities by our directors, officers, employees and other relevant persons reasonably designed to promote compliance with applicable insider trading laws, rules and regulations and the listing standards of Nasdaq.</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Company’s Policy for the Prevention of Insider Trading is filed as Exhibit 11.1 to this annual report on Form 20-F.</w:t>
      </w:r>
    </w:p>
    <w:p>
      <w:pPr>
        <w:spacing w:after="0" w:line="247"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16K.</w:t>
        <w:tab/>
        <w:t>CYBERSECURITY</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20" w:lineRule="exact"/>
        <w:rPr>
          <w:sz w:val="20"/>
          <w:szCs w:val="20"/>
          <w:color w:val="auto"/>
        </w:rPr>
      </w:pPr>
    </w:p>
    <w:p>
      <w:pPr>
        <w:ind w:left="300" w:right="440" w:firstLine="960"/>
        <w:spacing w:after="0" w:line="295"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47"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designed, executed, and assessed based on the principles of internationally recognized frameworks and standards, including ISO27001, the National Institute of Standards and Technology Cybersecurity Framework (“NIST CSF”) and the Payment Card Industry Data Security Standard (“PCI-DSS”). Our program has been certified against ISO27001 since 2009.</w:t>
      </w:r>
    </w:p>
    <w:p>
      <w:pPr>
        <w:spacing w:after="0" w:line="162" w:lineRule="exact"/>
        <w:rPr>
          <w:sz w:val="20"/>
          <w:szCs w:val="20"/>
          <w:color w:val="auto"/>
        </w:rPr>
      </w:pPr>
    </w:p>
    <w:p>
      <w:pPr>
        <w:jc w:val="both"/>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131" w:lineRule="exact"/>
        <w:rPr>
          <w:sz w:val="20"/>
          <w:szCs w:val="20"/>
          <w:color w:val="auto"/>
        </w:rPr>
      </w:pPr>
    </w:p>
    <w:p>
      <w:pPr>
        <w:ind w:left="1240" w:right="380" w:hanging="530"/>
        <w:spacing w:after="0" w:line="295"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w:t>
      </w:r>
    </w:p>
    <w:p>
      <w:pPr>
        <w:spacing w:after="0" w:line="55" w:lineRule="exact"/>
        <w:rPr>
          <w:rFonts w:ascii="Times New Roman" w:cs="Times New Roman" w:eastAsia="Times New Roman" w:hAnsi="Times New Roman"/>
          <w:sz w:val="17"/>
          <w:szCs w:val="17"/>
          <w:color w:val="auto"/>
        </w:rPr>
      </w:pPr>
    </w:p>
    <w:p>
      <w:pPr>
        <w:ind w:left="1240" w:right="580" w:hanging="530"/>
        <w:spacing w:after="0" w:line="295"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information security team principally responsible for managing (1) our cybersecurity risk assessment processes, (2) our security controls, and (3) our response to cybersecurity incidents;</w:t>
      </w:r>
    </w:p>
    <w:p>
      <w:pPr>
        <w:spacing w:after="0" w:line="5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information security controls;</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directors, senior management, employees and incident response personnel;</w:t>
      </w:r>
    </w:p>
    <w:p>
      <w:pPr>
        <w:spacing w:after="0" w:line="13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131" w:lineRule="exact"/>
        <w:rPr>
          <w:rFonts w:ascii="Times New Roman" w:cs="Times New Roman" w:eastAsia="Times New Roman" w:hAnsi="Times New Roman"/>
          <w:sz w:val="17"/>
          <w:szCs w:val="17"/>
          <w:color w:val="auto"/>
        </w:rPr>
      </w:pPr>
    </w:p>
    <w:p>
      <w:pPr>
        <w:ind w:left="1240" w:right="20" w:hanging="530"/>
        <w:spacing w:after="0" w:line="295"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process for service providers, suppliers, and vendors, including oversight and identification of cybersecurity risks.</w:t>
      </w:r>
    </w:p>
    <w:p>
      <w:pPr>
        <w:spacing w:after="0" w:line="147"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 — D. Risk Factors — Risks Relating to Our Business and Operations — Information technology and other systems that we depend on are subject to cybersecurity risks, including disruptions to systems and operations, misappropriation of customer information, other breaches of information security or other cybercrimes, as well as regulatory and other risks” and “— Failure to protect the integrity and security of company staff, supplier and customer information and comply with cybersecurity, data privacy, data</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199</w:t>
      </w:r>
    </w:p>
    <w:p>
      <w:pPr>
        <w:sectPr>
          <w:pgSz w:w="11900" w:h="16838" w:orient="portrait"/>
          <w:cols w:equalWidth="0" w:num="1">
            <w:col w:w="10940"/>
          </w:cols>
          <w:pgMar w:left="320" w:top="472" w:right="6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95" w:lineRule="auto"/>
        <w:rPr>
          <w:sz w:val="20"/>
          <w:szCs w:val="20"/>
          <w:color w:val="auto"/>
        </w:rPr>
      </w:pPr>
      <w:r>
        <w:rPr>
          <w:rFonts w:ascii="Times New Roman" w:cs="Times New Roman" w:eastAsia="Times New Roman" w:hAnsi="Times New Roman"/>
          <w:sz w:val="17"/>
          <w:szCs w:val="17"/>
          <w:color w:val="auto"/>
        </w:rPr>
        <w:t>protection or any other laws and regulations related to data may materially and adversely affect our business, financial condition and results of operation, and/or result in damage to reputation and/or subject us to fines, penalties, lawsuits, restrictions on our use or transfer of data and other risks.”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20"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62"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The audit and risk committee receives regular reports from management on our cybersecurity risks. In addition, management updates the audit and risk committee, as necessary, regarding any material cybersecurity incidents, as well as any incidents with lesser impact potential.</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The audit and risk committee reports to the full board regarding its activities, including those related to cybersecurity. The full board also receives briefings from management on our cyber risk management program. Board members receive presentations on cybersecurity topics from our chief information security officer and external experts as part of the board’s continuing education on topics that impact public companies.</w:t>
      </w:r>
    </w:p>
    <w:p>
      <w:pPr>
        <w:spacing w:after="0" w:line="162"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Our cybersecurity risk management team, including our chief information security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cybersecurity risk management team’s experience includes previous work experience in cybersecurity and risk management roles in various industries including financial services and technology. Our cybersecurity risk management team also holds multiple security credentials such as Certified Information Systems Auditor, Certified Information Systems Security Professional, Certified Information Security Manager, ISO Lead Auditor Practitioner, and Certified in Risk and Systems Information Control certifications as well as various technology certifications. The team also engages leading cybersecurity and forensic incident response external service providers to provide extensive capability to run, review, challenge and advise on operational enhancements, and provide incident response capability during an incident, as required.</w:t>
      </w:r>
    </w:p>
    <w:p>
      <w:pPr>
        <w:spacing w:after="0" w:line="178"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cybersecurity risk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200</w:t>
      </w:r>
    </w:p>
    <w:p>
      <w:pPr>
        <w:sectPr>
          <w:pgSz w:w="11900" w:h="16838" w:orient="portrait"/>
          <w:cols w:equalWidth="0" w:num="1">
            <w:col w:w="10860"/>
          </w:cols>
          <w:pgMar w:left="320" w:top="472" w:right="7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20" w:type="dxa"/>
            <w:vAlign w:val="bottom"/>
            <w:gridSpan w:val="19"/>
          </w:tcPr>
          <w:p>
            <w:pPr>
              <w:jc w:val="center"/>
              <w:ind w:right="3660"/>
              <w:spacing w:after="0"/>
              <w:rPr>
                <w:sz w:val="20"/>
                <w:szCs w:val="20"/>
                <w:color w:val="auto"/>
              </w:rPr>
            </w:pPr>
            <w:r>
              <w:rPr>
                <w:rFonts w:ascii="Times New Roman" w:cs="Times New Roman" w:eastAsia="Times New Roman" w:hAnsi="Times New Roman"/>
                <w:sz w:val="17"/>
                <w:szCs w:val="17"/>
                <w:b w:val="1"/>
                <w:bCs w:val="1"/>
                <w:color w:val="auto"/>
                <w:w w:val="99"/>
              </w:rPr>
              <w:t>PART III</w:t>
            </w:r>
          </w:p>
        </w:tc>
      </w:tr>
      <w:tr>
        <w:trPr>
          <w:trHeight w:val="327"/>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17.</w:t>
            </w:r>
          </w:p>
        </w:tc>
        <w:tc>
          <w:tcPr>
            <w:tcW w:w="9780" w:type="dxa"/>
            <w:vAlign w:val="bottom"/>
            <w:gridSpan w:val="25"/>
          </w:tcPr>
          <w:p>
            <w:pPr>
              <w:ind w:left="22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r>
      <w:tr>
        <w:trPr>
          <w:trHeight w:val="314"/>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gridSpan w:val="25"/>
          </w:tcPr>
          <w:p>
            <w:pPr>
              <w:ind w:left="12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tc>
      </w:tr>
      <w:tr>
        <w:trPr>
          <w:trHeight w:val="562"/>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18.</w:t>
            </w:r>
          </w:p>
        </w:tc>
        <w:tc>
          <w:tcPr>
            <w:tcW w:w="9780" w:type="dxa"/>
            <w:vAlign w:val="bottom"/>
            <w:gridSpan w:val="25"/>
          </w:tcPr>
          <w:p>
            <w:pPr>
              <w:ind w:left="22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r>
      <w:tr>
        <w:trPr>
          <w:trHeight w:val="314"/>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gridSpan w:val="25"/>
          </w:tcPr>
          <w:p>
            <w:pPr>
              <w:ind w:left="120"/>
              <w:spacing w:after="0"/>
              <w:rPr>
                <w:sz w:val="20"/>
                <w:szCs w:val="20"/>
                <w:color w:val="auto"/>
              </w:rPr>
            </w:pPr>
            <w:r>
              <w:rPr>
                <w:rFonts w:ascii="Times New Roman" w:cs="Times New Roman" w:eastAsia="Times New Roman" w:hAnsi="Times New Roman"/>
                <w:sz w:val="17"/>
                <w:szCs w:val="17"/>
                <w:color w:val="auto"/>
              </w:rPr>
              <w:t>The consolidated financial statements of Melco Resorts and its subsidiaries are included at the end of this annual report.</w:t>
            </w:r>
          </w:p>
        </w:tc>
      </w:tr>
      <w:tr>
        <w:trPr>
          <w:trHeight w:val="562"/>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19.</w:t>
            </w:r>
          </w:p>
        </w:tc>
        <w:tc>
          <w:tcPr>
            <w:tcW w:w="9780" w:type="dxa"/>
            <w:vAlign w:val="bottom"/>
            <w:gridSpan w:val="25"/>
          </w:tcPr>
          <w:p>
            <w:pPr>
              <w:ind w:left="2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55"/>
        </w:trPr>
        <w:tc>
          <w:tcPr>
            <w:tcW w:w="80" w:type="dxa"/>
            <w:vAlign w:val="bottom"/>
          </w:tcPr>
          <w:p>
            <w:pPr>
              <w:spacing w:after="0"/>
              <w:rPr>
                <w:sz w:val="24"/>
                <w:szCs w:val="24"/>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80" w:type="dxa"/>
            <w:vAlign w:val="bottom"/>
          </w:tcPr>
          <w:p>
            <w:pPr>
              <w:spacing w:after="0"/>
              <w:rPr>
                <w:sz w:val="14"/>
                <w:szCs w:val="14"/>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40" w:type="dxa"/>
            <w:vAlign w:val="bottom"/>
          </w:tcPr>
          <w:p>
            <w:pPr>
              <w:spacing w:after="0"/>
              <w:rPr>
                <w:sz w:val="14"/>
                <w:szCs w:val="14"/>
                <w:color w:val="auto"/>
              </w:rPr>
            </w:pPr>
          </w:p>
        </w:tc>
        <w:tc>
          <w:tcPr>
            <w:tcW w:w="9540" w:type="dxa"/>
            <w:vAlign w:val="bottom"/>
            <w:gridSpan w:val="2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1.1</w:t>
            </w:r>
          </w:p>
        </w:tc>
        <w:tc>
          <w:tcPr>
            <w:tcW w:w="240" w:type="dxa"/>
            <w:vAlign w:val="bottom"/>
          </w:tcPr>
          <w:p>
            <w:pPr>
              <w:spacing w:after="0"/>
              <w:rPr>
                <w:sz w:val="22"/>
                <w:szCs w:val="22"/>
                <w:color w:val="auto"/>
              </w:rPr>
            </w:pPr>
          </w:p>
        </w:tc>
        <w:tc>
          <w:tcPr>
            <w:tcW w:w="944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Amended and Restated Memorandum and Articles of Association adopted on March 29, 2017 (incorporated by reference to Exhibit 1.1</w:t>
              </w:r>
            </w:hyperlink>
          </w:p>
        </w:tc>
        <w:tc>
          <w:tcPr>
            <w:tcW w:w="100" w:type="dxa"/>
            <w:vAlign w:val="bottom"/>
            <w:gridSpan w:val="4"/>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gridSpan w:val="24"/>
          </w:tcPr>
          <w:p>
            <w:pPr>
              <w:spacing w:after="0" w:line="189"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from our annual report on Form 20-F for the fiscal year ended December 31, 2016 (File No. 001-33178), filed with the SEC on April 11,</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w w:val="95"/>
              </w:rPr>
            </w:pPr>
            <w:hyperlink r:id="rId222">
              <w:r>
                <w:rPr>
                  <w:rFonts w:ascii="Times New Roman" w:cs="Times New Roman" w:eastAsia="Times New Roman" w:hAnsi="Times New Roman"/>
                  <w:sz w:val="17"/>
                  <w:szCs w:val="17"/>
                  <w:color w:val="0000EE"/>
                  <w:w w:val="95"/>
                </w:rPr>
                <w:t>2017)</w:t>
              </w:r>
            </w:hyperlink>
          </w:p>
        </w:tc>
        <w:tc>
          <w:tcPr>
            <w:tcW w:w="10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13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2.1</w:t>
            </w:r>
          </w:p>
        </w:tc>
        <w:tc>
          <w:tcPr>
            <w:tcW w:w="240" w:type="dxa"/>
            <w:vAlign w:val="bottom"/>
          </w:tcPr>
          <w:p>
            <w:pPr>
              <w:spacing w:after="0"/>
              <w:rPr>
                <w:sz w:val="24"/>
                <w:szCs w:val="24"/>
                <w:color w:val="auto"/>
              </w:rPr>
            </w:pPr>
          </w:p>
        </w:tc>
        <w:tc>
          <w:tcPr>
            <w:tcW w:w="530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Form of Registrant’s American Depositary Receipt (included in Exhibit 2.3)</w:t>
              </w:r>
            </w:hyperlink>
          </w:p>
        </w:tc>
        <w:tc>
          <w:tcPr>
            <w:tcW w:w="4240" w:type="dxa"/>
            <w:vAlign w:val="bottom"/>
            <w:gridSpan w:val="16"/>
          </w:tcPr>
          <w:p>
            <w:pPr>
              <w:spacing w:after="0"/>
              <w:rPr>
                <w:sz w:val="24"/>
                <w:szCs w:val="24"/>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2.2</w:t>
            </w:r>
          </w:p>
        </w:tc>
        <w:tc>
          <w:tcPr>
            <w:tcW w:w="240" w:type="dxa"/>
            <w:vAlign w:val="bottom"/>
          </w:tcPr>
          <w:p>
            <w:pPr>
              <w:spacing w:after="0"/>
              <w:rPr>
                <w:sz w:val="24"/>
                <w:szCs w:val="24"/>
                <w:color w:val="auto"/>
              </w:rPr>
            </w:pPr>
          </w:p>
        </w:tc>
        <w:tc>
          <w:tcPr>
            <w:tcW w:w="9540" w:type="dxa"/>
            <w:vAlign w:val="bottom"/>
            <w:gridSpan w:val="24"/>
          </w:tcPr>
          <w:p>
            <w:pPr>
              <w:spacing w:after="0"/>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Registrant’s Specimen Certificate for Ordinary Shares (incorporated by reference to Exhibit 4.2 from our registration statement on</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80" w:type="dxa"/>
            <w:vAlign w:val="bottom"/>
            <w:tcBorders>
              <w:top w:val="single" w:sz="8" w:color="0000EE"/>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Form F-1 registration statement (File No. 333-139088), as amended, initially filed with the SEC on December 1, 2006)</w:t>
              </w:r>
            </w:hyperlink>
          </w:p>
        </w:tc>
        <w:tc>
          <w:tcPr>
            <w:tcW w:w="780" w:type="dxa"/>
            <w:vAlign w:val="bottom"/>
            <w:tcBorders>
              <w:top w:val="single" w:sz="8" w:color="0000EE"/>
            </w:tcBorders>
            <w:gridSpan w:val="3"/>
          </w:tcPr>
          <w:p>
            <w:pPr>
              <w:spacing w:after="0"/>
              <w:rPr>
                <w:sz w:val="16"/>
                <w:szCs w:val="16"/>
                <w:color w:val="auto"/>
              </w:rPr>
            </w:pPr>
          </w:p>
        </w:tc>
        <w:tc>
          <w:tcPr>
            <w:tcW w:w="480" w:type="dxa"/>
            <w:vAlign w:val="bottom"/>
            <w:gridSpan w:val="11"/>
          </w:tcPr>
          <w:p>
            <w:pPr>
              <w:spacing w:after="0"/>
              <w:rPr>
                <w:sz w:val="16"/>
                <w:szCs w:val="16"/>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2.3</w:t>
            </w:r>
          </w:p>
        </w:tc>
        <w:tc>
          <w:tcPr>
            <w:tcW w:w="240" w:type="dxa"/>
            <w:vAlign w:val="bottom"/>
          </w:tcPr>
          <w:p>
            <w:pPr>
              <w:spacing w:after="0"/>
              <w:rPr>
                <w:sz w:val="24"/>
                <w:szCs w:val="24"/>
                <w:color w:val="auto"/>
              </w:rPr>
            </w:pPr>
          </w:p>
        </w:tc>
        <w:tc>
          <w:tcPr>
            <w:tcW w:w="9540" w:type="dxa"/>
            <w:vAlign w:val="bottom"/>
            <w:gridSpan w:val="24"/>
          </w:tcPr>
          <w:p>
            <w:pPr>
              <w:spacing w:after="0"/>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Form of Deposit Agreement among the Company, the depositary and the holders and beneficial owners of the American depositary</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shares issued thereunder (incorporated by reference to Exhibit (a) from Amendment No. 1 to our registration statement on Form F-6</w:t>
              </w:r>
            </w:hyperlink>
          </w:p>
        </w:tc>
        <w:tc>
          <w:tcPr>
            <w:tcW w:w="340" w:type="dxa"/>
            <w:vAlign w:val="bottom"/>
            <w:gridSpan w:val="8"/>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0" w:type="dxa"/>
            <w:vAlign w:val="bottom"/>
            <w:tcBorders>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(File No. 333-139159) filed with the SEC on November 29, 2011)</w:t>
              </w:r>
            </w:hyperlink>
          </w:p>
        </w:tc>
        <w:tc>
          <w:tcPr>
            <w:tcW w:w="4940" w:type="dxa"/>
            <w:vAlign w:val="bottom"/>
            <w:gridSpan w:val="17"/>
          </w:tcPr>
          <w:p>
            <w:pPr>
              <w:spacing w:after="0"/>
              <w:rPr>
                <w:sz w:val="16"/>
                <w:szCs w:val="16"/>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2.4</w:t>
            </w:r>
          </w:p>
        </w:tc>
        <w:tc>
          <w:tcPr>
            <w:tcW w:w="24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Deed of Variation and Amendment dated July 27, 2007 between our Company, Melco Leisure and Entertainment Group Limited, Melco</w:t>
              </w:r>
            </w:hyperlink>
          </w:p>
        </w:tc>
        <w:tc>
          <w:tcPr>
            <w:tcW w:w="60" w:type="dxa"/>
            <w:vAlign w:val="bottom"/>
            <w:gridSpan w:val="3"/>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0" w:type="dxa"/>
            <w:vAlign w:val="bottom"/>
            <w:tcBorders>
              <w:bottom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International Development Limited, PBL Asia Investments Limited, Publishing and Broadcasting Limited and Crown Limited</w:t>
              </w:r>
            </w:hyperlink>
          </w:p>
        </w:tc>
        <w:tc>
          <w:tcPr>
            <w:tcW w:w="740" w:type="dxa"/>
            <w:vAlign w:val="bottom"/>
            <w:gridSpan w:val="12"/>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tcBorders>
              <w:bottom w:val="single" w:sz="8" w:color="0000EE"/>
            </w:tcBorders>
            <w:gridSpan w:val="24"/>
          </w:tcPr>
          <w:p>
            <w:pPr>
              <w:spacing w:after="0" w:line="189"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(incorporated by reference to Exhibit 4.11 from our registration statement on Form F-1 (File No. 333-146780), as amended, initially filed</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gridSpan w:val="24"/>
          </w:tcPr>
          <w:p>
            <w:pPr>
              <w:spacing w:after="0" w:line="189"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with the SEC on October 18, 2007)</w:t>
              </w:r>
            </w:hyperlink>
          </w:p>
        </w:tc>
      </w:tr>
      <w:tr>
        <w:trPr>
          <w:trHeight w:val="20"/>
        </w:trPr>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2.5</w:t>
            </w:r>
          </w:p>
        </w:tc>
        <w:tc>
          <w:tcPr>
            <w:tcW w:w="240" w:type="dxa"/>
            <w:vAlign w:val="bottom"/>
          </w:tcPr>
          <w:p>
            <w:pPr>
              <w:spacing w:after="0"/>
              <w:rPr>
                <w:sz w:val="24"/>
                <w:szCs w:val="24"/>
                <w:color w:val="auto"/>
              </w:rPr>
            </w:pPr>
          </w:p>
        </w:tc>
        <w:tc>
          <w:tcPr>
            <w:tcW w:w="9540" w:type="dxa"/>
            <w:vAlign w:val="bottom"/>
            <w:gridSpan w:val="24"/>
          </w:tcPr>
          <w:p>
            <w:pPr>
              <w:spacing w:after="0"/>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Form of Registration Rights Agreement among our Company, Melco Leisure and Entertainment Group Limited and PBL (incorporated</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tcBorders>
              <w:bottom w:val="single" w:sz="8" w:color="0000EE"/>
            </w:tcBorders>
            <w:gridSpan w:val="24"/>
          </w:tcPr>
          <w:p>
            <w:pPr>
              <w:spacing w:after="0" w:line="189"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by reference to Exhibit 4.10 from our registration statement on Form F-1 (File No. 333-139088), as amended, initially filed with the SEC</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gridSpan w:val="24"/>
          </w:tcPr>
          <w:p>
            <w:pPr>
              <w:spacing w:after="0" w:line="189"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on December 1, 2006)</w:t>
              </w:r>
            </w:hyperlink>
          </w:p>
        </w:tc>
      </w:tr>
      <w:tr>
        <w:trPr>
          <w:trHeight w:val="20"/>
        </w:trPr>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2.6</w:t>
            </w:r>
          </w:p>
        </w:tc>
        <w:tc>
          <w:tcPr>
            <w:tcW w:w="24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Amendment No. 1 and Joinder to Registration Rights Agreement among our Company, Crown Asia Investments Pty Ltd, Crown Resorts</w:t>
              </w:r>
            </w:hyperlink>
          </w:p>
        </w:tc>
        <w:tc>
          <w:tcPr>
            <w:tcW w:w="20" w:type="dxa"/>
            <w:vAlign w:val="bottom"/>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2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Limited, Melco Leisure and Entertainment Group Limited and Melco International Development Limited, dated as of February 9, 2017</w:t>
              </w:r>
            </w:hyperlink>
          </w:p>
        </w:tc>
        <w:tc>
          <w:tcPr>
            <w:tcW w:w="120" w:type="dxa"/>
            <w:vAlign w:val="bottom"/>
            <w:gridSpan w:val="5"/>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gridSpan w:val="24"/>
          </w:tcPr>
          <w:p>
            <w:pPr>
              <w:spacing w:after="0" w:line="189"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(incorporated by reference to Exhibit 2.19 from our annual report on Form 20-F for the fiscal year ended December 31, 2016</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80" w:type="dxa"/>
            <w:vAlign w:val="bottom"/>
            <w:tcBorders>
              <w:top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(File No. 001-33178), filed with the SEC on April 11, 2017)</w:t>
              </w:r>
            </w:hyperlink>
          </w:p>
        </w:tc>
        <w:tc>
          <w:tcPr>
            <w:tcW w:w="860" w:type="dxa"/>
            <w:vAlign w:val="bottom"/>
            <w:gridSpan w:val="13"/>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2.7</w:t>
            </w:r>
          </w:p>
        </w:tc>
        <w:tc>
          <w:tcPr>
            <w:tcW w:w="240" w:type="dxa"/>
            <w:vAlign w:val="bottom"/>
          </w:tcPr>
          <w:p>
            <w:pPr>
              <w:spacing w:after="0"/>
              <w:rPr>
                <w:sz w:val="24"/>
                <w:szCs w:val="24"/>
                <w:color w:val="auto"/>
              </w:rPr>
            </w:pPr>
          </w:p>
        </w:tc>
        <w:tc>
          <w:tcPr>
            <w:tcW w:w="9540" w:type="dxa"/>
            <w:vAlign w:val="bottom"/>
            <w:gridSpan w:val="24"/>
          </w:tcPr>
          <w:p>
            <w:pPr>
              <w:spacing w:after="0"/>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Amendment No. 2 to Registration Rights Agreement among our Company, Crown Asia Investments Pty Ltd, Crown Resorts Limited,</w:t>
              </w:r>
            </w:hyperlink>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tcBorders>
              <w:bottom w:val="single" w:sz="8" w:color="0000EE"/>
            </w:tcBorders>
            <w:gridSpan w:val="24"/>
          </w:tcPr>
          <w:p>
            <w:pPr>
              <w:spacing w:after="0" w:line="189"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Melco Leisure and Entertainment Group Limited and Melco International Development Limited, dated as of May 15, 2017 (incorporated</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300" w:type="dxa"/>
            <w:vAlign w:val="bottom"/>
            <w:tcBorders>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by reference to Exhibit 2.24 from our annual report on Form 20-F for the fiscal year ended December 31, 2017 (File No. 001-33178),</w:t>
              </w:r>
            </w:hyperlink>
          </w:p>
        </w:tc>
        <w:tc>
          <w:tcPr>
            <w:tcW w:w="240" w:type="dxa"/>
            <w:vAlign w:val="bottom"/>
            <w:gridSpan w:val="7"/>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filed with the SEC on April 12, 2018)</w:t>
              </w:r>
            </w:hyperlink>
          </w:p>
        </w:tc>
        <w:tc>
          <w:tcPr>
            <w:tcW w:w="6920" w:type="dxa"/>
            <w:vAlign w:val="bottom"/>
            <w:gridSpan w:val="19"/>
          </w:tcPr>
          <w:p>
            <w:pPr>
              <w:spacing w:after="0"/>
              <w:rPr>
                <w:sz w:val="16"/>
                <w:szCs w:val="16"/>
                <w:color w:val="auto"/>
              </w:rPr>
            </w:pPr>
          </w:p>
        </w:tc>
      </w:tr>
      <w:tr>
        <w:trPr>
          <w:trHeight w:val="294"/>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  2.8</w:t>
            </w:r>
          </w:p>
        </w:tc>
        <w:tc>
          <w:tcPr>
            <w:tcW w:w="240" w:type="dxa"/>
            <w:vAlign w:val="bottom"/>
          </w:tcPr>
          <w:p>
            <w:pPr>
              <w:spacing w:after="0"/>
              <w:rPr>
                <w:sz w:val="24"/>
                <w:szCs w:val="24"/>
                <w:color w:val="auto"/>
              </w:rPr>
            </w:pPr>
          </w:p>
        </w:tc>
        <w:tc>
          <w:tcPr>
            <w:tcW w:w="9540" w:type="dxa"/>
            <w:vAlign w:val="bottom"/>
            <w:gridSpan w:val="24"/>
          </w:tcPr>
          <w:p>
            <w:pPr>
              <w:spacing w:after="0"/>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Description of Registrant’s Securities (incorporated herein by reference to Exhibit 2.20 from our annual report on Form 20-F for the</w:t>
              </w:r>
            </w:hyperlink>
          </w:p>
        </w:tc>
      </w:tr>
      <w:tr>
        <w:trPr>
          <w:trHeight w:val="189"/>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80" w:type="dxa"/>
            <w:vAlign w:val="bottom"/>
            <w:tcBorders>
              <w:top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fiscal year ended December 31, 2022 (File No. 001-33178), filed with the SEC on March 31, 2022)</w:t>
              </w:r>
            </w:hyperlink>
          </w:p>
        </w:tc>
        <w:tc>
          <w:tcPr>
            <w:tcW w:w="360" w:type="dxa"/>
            <w:vAlign w:val="bottom"/>
            <w:gridSpan w:val="9"/>
          </w:tcPr>
          <w:p>
            <w:pPr>
              <w:spacing w:after="0"/>
              <w:rPr>
                <w:sz w:val="16"/>
                <w:szCs w:val="16"/>
                <w:color w:val="auto"/>
              </w:rPr>
            </w:pPr>
          </w:p>
        </w:tc>
      </w:tr>
      <w:tr>
        <w:trPr>
          <w:trHeight w:val="372"/>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gridSpan w:val="7"/>
          </w:tcPr>
          <w:p>
            <w:pPr>
              <w:jc w:val="right"/>
              <w:ind w:right="220"/>
              <w:spacing w:after="0"/>
              <w:rPr>
                <w:sz w:val="20"/>
                <w:szCs w:val="20"/>
                <w:color w:val="auto"/>
              </w:rPr>
            </w:pPr>
            <w:r>
              <w:rPr>
                <w:rFonts w:ascii="Times New Roman" w:cs="Times New Roman" w:eastAsia="Times New Roman" w:hAnsi="Times New Roman"/>
                <w:sz w:val="17"/>
                <w:szCs w:val="17"/>
                <w:color w:val="auto"/>
              </w:rPr>
              <w:t>201</w:t>
            </w:r>
          </w:p>
        </w:tc>
        <w:tc>
          <w:tcPr>
            <w:tcW w:w="70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20"/>
          </w:cols>
          <w:pgMar w:left="320" w:top="472" w:right="6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40"/>
          </w:cols>
          <w:pgMar w:left="320" w:top="472" w:right="639" w:bottom="1440" w:gutter="0" w:footer="0" w:header="0"/>
        </w:sectPr>
      </w:pP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pacing w:after="0" w:line="261" w:lineRule="auto"/>
        <w:rPr>
          <w:rFonts w:ascii="Times New Roman" w:cs="Times New Roman" w:eastAsia="Times New Roman" w:hAnsi="Times New Roman"/>
          <w:sz w:val="17"/>
          <w:szCs w:val="17"/>
          <w:u w:val="single" w:color="auto"/>
          <w:color w:val="0000EE"/>
        </w:rPr>
      </w:pPr>
      <w:hyperlink r:id="rId231">
        <w:r>
          <w:rPr>
            <w:rFonts w:ascii="Times New Roman" w:cs="Times New Roman" w:eastAsia="Times New Roman" w:hAnsi="Times New Roman"/>
            <w:sz w:val="17"/>
            <w:szCs w:val="17"/>
            <w:u w:val="single" w:color="auto"/>
            <w:color w:val="0000EE"/>
          </w:rPr>
          <w:t>Senior Term Loan and Revolving Facilities Agreement, dated January 28, 2013, among Studio City Investments Limited, Studio City</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Company Limited, certain guarantors as specified therein, Australia and New Zealand Banking Group Limited, Bank of America, N.A.,</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Bank of China Limited, Macau Branch, Citigroup Global Markets Asia Limited, Credit Agricole Corporate and Investment Bank,</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Deutsche Bank AG, Hong Kong Branch, Industrial and Commercial Bank of China (Macau) Limited and UBS AG Hong Kong Branch</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as bookrunner mandated lead arrangers, certain other entities as specified therein as mandated lead arranger, lead arrangers, arranger,</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senior managers and managers, certain financial institutions as lenders, Deutsche Bank AG, Hong Kong Branch as facility agent,</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Industrial and Commercial Bank of China (Macau) Limited as agent and security trustee, disbursement agent and agent for the agent</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and security trustee and Bank of China Limited, Macau Branch as issuing bank (incorporated by reference to Exhibit 2.16 from our</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annual report on Form 20-F for the fiscal year ended December 31, 2012 (File No. 001-33178), filed with the SEC on April 18, 2013)</w:t>
        </w:r>
      </w:hyperlink>
    </w:p>
    <w:p>
      <w:pPr>
        <w:spacing w:after="0" w:line="66"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540"/>
            <w:col w:w="9480"/>
          </w:cols>
          <w:pgMar w:left="320" w:top="472" w:right="63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2.10</w:t>
            </w:r>
          </w:p>
        </w:tc>
        <w:tc>
          <w:tcPr>
            <w:tcW w:w="9480" w:type="dxa"/>
            <w:vAlign w:val="bottom"/>
            <w:gridSpan w:val="16"/>
          </w:tcPr>
          <w:p>
            <w:pPr>
              <w:spacing w:after="0"/>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Amendment Agreement, dated March 1, 2013, between Studio City Investments Limited and Deutsche Bank AG, Hong Kong Branch</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40" w:type="dxa"/>
            <w:vAlign w:val="bottom"/>
            <w:tcBorders>
              <w:top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as facility agent, relating to a senior facilities agreement dated January 28, 2013 (incorporated by reference to Exhibit 2.18 from our</w:t>
              </w:r>
            </w:hyperlink>
          </w:p>
        </w:tc>
        <w:tc>
          <w:tcPr>
            <w:tcW w:w="140" w:type="dxa"/>
            <w:vAlign w:val="bottom"/>
            <w:gridSpan w:val="3"/>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16"/>
          </w:tcPr>
          <w:p>
            <w:pPr>
              <w:spacing w:after="0" w:line="189" w:lineRule="exact"/>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annual report on Form 20-F for the fiscal year ended December 31, 2012 (File No. 001-33178), filed with the SEC on April 18, 2013)</w:t>
              </w:r>
            </w:hyperlink>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2.11</w:t>
            </w:r>
          </w:p>
        </w:tc>
        <w:tc>
          <w:tcPr>
            <w:tcW w:w="9320" w:type="dxa"/>
            <w:vAlign w:val="bottom"/>
            <w:tcBorders>
              <w:top w:val="single" w:sz="8" w:color="0000EE"/>
            </w:tcBorders>
            <w:gridSpan w:val="12"/>
          </w:tcPr>
          <w:p>
            <w:pPr>
              <w:spacing w:after="0"/>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Seventh Amendment in Respect of the Senior Facilities Agreement, dated June 19, 2015, between Melco Resorts Macau, Deutsche</w:t>
              </w:r>
            </w:hyperlink>
          </w:p>
        </w:tc>
        <w:tc>
          <w:tcPr>
            <w:tcW w:w="160" w:type="dxa"/>
            <w:vAlign w:val="bottom"/>
            <w:gridSpan w:val="4"/>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0" w:type="dxa"/>
            <w:vAlign w:val="bottom"/>
            <w:tcBorders>
              <w:top w:val="single" w:sz="8" w:color="0000EE"/>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Bank AG, Hong Kong Branch as agent and DB Trustees (Hong Kong) Limited as security agent (incorporated by reference to</w:t>
              </w:r>
            </w:hyperlink>
          </w:p>
        </w:tc>
        <w:tc>
          <w:tcPr>
            <w:tcW w:w="340" w:type="dxa"/>
            <w:vAlign w:val="bottom"/>
            <w:tcBorders>
              <w:top w:val="single" w:sz="8" w:color="0000EE"/>
            </w:tcBorders>
            <w:gridSpan w:val="4"/>
          </w:tcPr>
          <w:p>
            <w:pPr>
              <w:spacing w:after="0"/>
              <w:rPr>
                <w:sz w:val="16"/>
                <w:szCs w:val="16"/>
                <w:color w:val="auto"/>
              </w:rPr>
            </w:pPr>
          </w:p>
        </w:tc>
        <w:tc>
          <w:tcPr>
            <w:tcW w:w="340" w:type="dxa"/>
            <w:vAlign w:val="bottom"/>
            <w:gridSpan w:val="6"/>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16"/>
          </w:tcPr>
          <w:p>
            <w:pPr>
              <w:spacing w:after="0" w:line="189"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Exhibit 4.45 from our annual report on Form 20-F for the fiscal year ended December 31, 2015 (File No. 001-33178), filed with the</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0" w:type="dxa"/>
            <w:vAlign w:val="bottom"/>
            <w:tcBorders>
              <w:top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SEC on April 12, 2016)</w:t>
              </w:r>
            </w:hyperlink>
          </w:p>
        </w:tc>
        <w:tc>
          <w:tcPr>
            <w:tcW w:w="280" w:type="dxa"/>
            <w:vAlign w:val="bottom"/>
            <w:gridSpan w:val="5"/>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2.12</w:t>
            </w:r>
          </w:p>
        </w:tc>
        <w:tc>
          <w:tcPr>
            <w:tcW w:w="93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Amendments, Waivers and Consent Request Letter, dated October 26, 2015, in connection with the Senior Term Loan and Revolving</w:t>
              </w:r>
            </w:hyperlink>
          </w:p>
        </w:tc>
        <w:tc>
          <w:tcPr>
            <w:tcW w:w="160" w:type="dxa"/>
            <w:vAlign w:val="bottom"/>
            <w:gridSpan w:val="4"/>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20" w:type="dxa"/>
            <w:vAlign w:val="bottom"/>
            <w:tcBorders>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Facilities Agreement dated January 28, 2013 issued by Studio City Investments Limited and Studio City Company Limited, to</w:t>
              </w:r>
            </w:hyperlink>
          </w:p>
        </w:tc>
        <w:tc>
          <w:tcPr>
            <w:tcW w:w="660" w:type="dxa"/>
            <w:vAlign w:val="bottom"/>
            <w:gridSpan w:val="9"/>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78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Deutsche Bank AG, Hong Kong Branch as facility agent (incorporated by reference to Exhibit 4.46 from our annual report on</w:t>
              </w:r>
            </w:hyperlink>
          </w:p>
        </w:tc>
        <w:tc>
          <w:tcPr>
            <w:tcW w:w="700" w:type="dxa"/>
            <w:vAlign w:val="bottom"/>
            <w:gridSpan w:val="11"/>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16"/>
          </w:tcPr>
          <w:p>
            <w:pPr>
              <w:spacing w:after="0" w:line="189"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Form 20-F for the fiscal year ended December 31, 2015 (File No. 001-33178), filed with the SEC on April 12, 2016)</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2.13</w:t>
            </w:r>
          </w:p>
        </w:tc>
        <w:tc>
          <w:tcPr>
            <w:tcW w:w="9480" w:type="dxa"/>
            <w:vAlign w:val="bottom"/>
            <w:gridSpan w:val="16"/>
          </w:tcPr>
          <w:p>
            <w:pPr>
              <w:spacing w:after="0"/>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Supplemental Amendments, Waivers and Consent Request Letter, dated November 16, 2015, in connection with the Senior Term Loan</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0" w:type="dxa"/>
            <w:vAlign w:val="bottom"/>
            <w:tcBorders>
              <w:top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and Revolving Facilities Agreement dated January 28, 2013 issued by Studio City Investments Limited and Studio City Company</w:t>
              </w:r>
            </w:hyperlink>
          </w:p>
        </w:tc>
        <w:tc>
          <w:tcPr>
            <w:tcW w:w="8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8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Limited, to Deutsche Bank AG, Hong Kong Branch as facility agent (incorporated by reference to Exhibit 4.47 from our annual report</w:t>
              </w:r>
            </w:hyperlink>
          </w:p>
        </w:tc>
        <w:tc>
          <w:tcPr>
            <w:tcW w:w="100" w:type="dxa"/>
            <w:vAlign w:val="bottom"/>
            <w:gridSpan w:val="2"/>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16"/>
          </w:tcPr>
          <w:p>
            <w:pPr>
              <w:spacing w:after="0" w:line="189"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on Form 20-F for the fiscal year ended December 31, 2015 (File No. 001-33178), filed with the SEC on April 12, 2016)</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2.14</w:t>
            </w:r>
          </w:p>
        </w:tc>
        <w:tc>
          <w:tcPr>
            <w:tcW w:w="9480" w:type="dxa"/>
            <w:vAlign w:val="bottom"/>
            <w:gridSpan w:val="16"/>
          </w:tcPr>
          <w:p>
            <w:pPr>
              <w:spacing w:after="0"/>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 xml:space="preserve">Amended and Restated Credit Agreement relating to Studio City Company Limited’s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233 million revolving credit facility and</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 dated November 23, 2016 (incorporated by reference to Exhibit 99.7 from our registration statement on</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36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Form F-3 (File No. 333-215500), filed with the SEC on December 14, 2016)</w:t>
              </w:r>
            </w:hyperlink>
          </w:p>
        </w:tc>
        <w:tc>
          <w:tcPr>
            <w:tcW w:w="4120" w:type="dxa"/>
            <w:vAlign w:val="bottom"/>
            <w:gridSpan w:val="14"/>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2.15</w:t>
            </w:r>
          </w:p>
        </w:tc>
        <w:tc>
          <w:tcPr>
            <w:tcW w:w="9480" w:type="dxa"/>
            <w:vAlign w:val="bottom"/>
            <w:gridSpan w:val="16"/>
          </w:tcPr>
          <w:p>
            <w:pPr>
              <w:spacing w:after="0"/>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 xml:space="preserve">Amended and Restated Credit Agreement relating to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 xml:space="preserve">233 million revolving credit facility and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10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16"/>
          </w:tcPr>
          <w:p>
            <w:pPr>
              <w:spacing w:after="0" w:line="189"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dated March 15, 2021, among Studio City Company Limited and certain of its subsidiaries and affiliates with Bank of China Limited,</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 w:lineRule="exact"/>
        <w:rPr>
          <w:sz w:val="20"/>
          <w:szCs w:val="20"/>
          <w:color w:val="auto"/>
        </w:rPr>
      </w:pPr>
    </w:p>
    <w:p>
      <w:pPr>
        <w:ind w:left="1460" w:right="80"/>
        <w:spacing w:after="0" w:line="295" w:lineRule="auto"/>
        <w:rPr>
          <w:rFonts w:ascii="Times New Roman" w:cs="Times New Roman" w:eastAsia="Times New Roman" w:hAnsi="Times New Roman"/>
          <w:sz w:val="17"/>
          <w:szCs w:val="17"/>
          <w:u w:val="single" w:color="auto"/>
          <w:color w:val="0000EE"/>
        </w:rPr>
      </w:pPr>
      <w:hyperlink r:id="rId237">
        <w:r>
          <w:rPr>
            <w:rFonts w:ascii="Times New Roman" w:cs="Times New Roman" w:eastAsia="Times New Roman" w:hAnsi="Times New Roman"/>
            <w:sz w:val="17"/>
            <w:szCs w:val="17"/>
            <w:u w:val="single" w:color="auto"/>
            <w:color w:val="0000EE"/>
          </w:rPr>
          <w:t>Macau Branch, among others (incorporated by reference to Exhibit 2.36 from our annual report on Form 20-F for the fiscal year ended</w:t>
        </w:r>
      </w:hyperlink>
      <w:r>
        <w:rPr>
          <w:rFonts w:ascii="Times New Roman" w:cs="Times New Roman" w:eastAsia="Times New Roman" w:hAnsi="Times New Roman"/>
          <w:sz w:val="17"/>
          <w:szCs w:val="17"/>
          <w:u w:val="single" w:color="auto"/>
          <w:color w:val="0000EE"/>
        </w:rPr>
        <w:t xml:space="preserve"> </w:t>
      </w:r>
      <w:hyperlink r:id="rId237">
        <w:r>
          <w:rPr>
            <w:rFonts w:ascii="Times New Roman" w:cs="Times New Roman" w:eastAsia="Times New Roman" w:hAnsi="Times New Roman"/>
            <w:sz w:val="17"/>
            <w:szCs w:val="17"/>
            <w:u w:val="single" w:color="auto"/>
            <w:color w:val="0000EE"/>
          </w:rPr>
          <w:t>December 31, 2020 (File No. 001-33178), filed with the SEC on March 31, 2021)</w:t>
        </w:r>
      </w:hyperlink>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202</w:t>
      </w:r>
    </w:p>
    <w:p>
      <w:pPr>
        <w:sectPr>
          <w:pgSz w:w="11900" w:h="16838" w:orient="portrait"/>
          <w:cols w:equalWidth="0" w:num="1">
            <w:col w:w="10940"/>
          </w:cols>
          <w:pgMar w:left="320" w:top="472" w:right="6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60"/>
          </w:cols>
          <w:pgMar w:left="320" w:top="472" w:right="619" w:bottom="1440" w:gutter="0" w:footer="0" w:header="0"/>
        </w:sectPr>
      </w:pP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2.16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ind w:right="80"/>
        <w:spacing w:after="0" w:line="266" w:lineRule="auto"/>
        <w:rPr>
          <w:rFonts w:ascii="Times New Roman" w:cs="Times New Roman" w:eastAsia="Times New Roman" w:hAnsi="Times New Roman"/>
          <w:sz w:val="17"/>
          <w:szCs w:val="17"/>
          <w:u w:val="single" w:color="auto"/>
          <w:color w:val="0000EE"/>
        </w:rPr>
      </w:pPr>
      <w:hyperlink r:id="rId239">
        <w:r>
          <w:rPr>
            <w:rFonts w:ascii="Times New Roman" w:cs="Times New Roman" w:eastAsia="Times New Roman" w:hAnsi="Times New Roman"/>
            <w:sz w:val="17"/>
            <w:szCs w:val="17"/>
            <w:u w:val="single" w:color="auto"/>
            <w:color w:val="0000EE"/>
          </w:rPr>
          <w:t>Amendment and Restatement Agreement dated February 7, 2022 (in respect of the Intercreditor Agreement originally dated</w:t>
        </w:r>
      </w:hyperlink>
      <w:r>
        <w:rPr>
          <w:rFonts w:ascii="Times New Roman" w:cs="Times New Roman" w:eastAsia="Times New Roman" w:hAnsi="Times New Roman"/>
          <w:sz w:val="17"/>
          <w:szCs w:val="17"/>
          <w:u w:val="single" w:color="auto"/>
          <w:color w:val="0000EE"/>
        </w:rPr>
        <w:t xml:space="preserve"> </w:t>
      </w:r>
      <w:hyperlink r:id="rId239">
        <w:r>
          <w:rPr>
            <w:rFonts w:ascii="Times New Roman" w:cs="Times New Roman" w:eastAsia="Times New Roman" w:hAnsi="Times New Roman"/>
            <w:sz w:val="17"/>
            <w:szCs w:val="17"/>
            <w:u w:val="single" w:color="auto"/>
            <w:color w:val="0000EE"/>
          </w:rPr>
          <w:t>December 1, 2016) among Studio City Company Limited, the guarantors of the 7.000% senior secured notes due 2027, the lenders and</w:t>
        </w:r>
      </w:hyperlink>
      <w:r>
        <w:rPr>
          <w:rFonts w:ascii="Times New Roman" w:cs="Times New Roman" w:eastAsia="Times New Roman" w:hAnsi="Times New Roman"/>
          <w:sz w:val="17"/>
          <w:szCs w:val="17"/>
          <w:u w:val="single" w:color="auto"/>
          <w:color w:val="0000EE"/>
        </w:rPr>
        <w:t xml:space="preserve"> </w:t>
      </w:r>
      <w:hyperlink r:id="rId239">
        <w:r>
          <w:rPr>
            <w:rFonts w:ascii="Times New Roman" w:cs="Times New Roman" w:eastAsia="Times New Roman" w:hAnsi="Times New Roman"/>
            <w:sz w:val="17"/>
            <w:szCs w:val="17"/>
            <w:u w:val="single" w:color="auto"/>
            <w:color w:val="0000EE"/>
          </w:rPr>
          <w:t>agent for Studio City Company Limited’s HK$233 million revolving credit facility and HK$1 million term loan facility, the security</w:t>
        </w:r>
      </w:hyperlink>
      <w:r>
        <w:rPr>
          <w:rFonts w:ascii="Times New Roman" w:cs="Times New Roman" w:eastAsia="Times New Roman" w:hAnsi="Times New Roman"/>
          <w:sz w:val="17"/>
          <w:szCs w:val="17"/>
          <w:u w:val="single" w:color="auto"/>
          <w:color w:val="0000EE"/>
        </w:rPr>
        <w:t xml:space="preserve"> </w:t>
      </w:r>
      <w:hyperlink r:id="rId239">
        <w:r>
          <w:rPr>
            <w:rFonts w:ascii="Times New Roman" w:cs="Times New Roman" w:eastAsia="Times New Roman" w:hAnsi="Times New Roman"/>
            <w:sz w:val="17"/>
            <w:szCs w:val="17"/>
            <w:u w:val="single" w:color="auto"/>
            <w:color w:val="0000EE"/>
          </w:rPr>
          <w:t>agent and intercreditor agent named therein, among others (incorporated by reference to Exhibit 2.26 from our annual report on</w:t>
        </w:r>
      </w:hyperlink>
      <w:r>
        <w:rPr>
          <w:rFonts w:ascii="Times New Roman" w:cs="Times New Roman" w:eastAsia="Times New Roman" w:hAnsi="Times New Roman"/>
          <w:sz w:val="17"/>
          <w:szCs w:val="17"/>
          <w:u w:val="single" w:color="auto"/>
          <w:color w:val="0000EE"/>
        </w:rPr>
        <w:t xml:space="preserve"> </w:t>
      </w:r>
      <w:hyperlink r:id="rId239">
        <w:r>
          <w:rPr>
            <w:rFonts w:ascii="Times New Roman" w:cs="Times New Roman" w:eastAsia="Times New Roman" w:hAnsi="Times New Roman"/>
            <w:sz w:val="17"/>
            <w:szCs w:val="17"/>
            <w:u w:val="single" w:color="auto"/>
            <w:color w:val="0000EE"/>
          </w:rPr>
          <w:t>Form 20-F for the fiscal year ended December 31, 2021 (File No. 001-33178), filed with the SEC on March 31, 2022)</w:t>
        </w:r>
      </w:hyperlink>
    </w:p>
    <w:p>
      <w:pPr>
        <w:spacing w:after="0" w:line="60"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540"/>
            <w:col w:w="9500"/>
          </w:cols>
          <w:pgMar w:left="320" w:top="472" w:right="61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2.17</w:t>
            </w:r>
          </w:p>
        </w:tc>
        <w:tc>
          <w:tcPr>
            <w:tcW w:w="9500" w:type="dxa"/>
            <w:vAlign w:val="bottom"/>
            <w:gridSpan w:val="21"/>
          </w:tcPr>
          <w:p>
            <w:pPr>
              <w:spacing w:after="0"/>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 xml:space="preserve">Amended and Restated Credit Agreement relating to the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 xml:space="preserve">233 million revolving credit facility and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60" w:type="dxa"/>
            <w:vAlign w:val="bottom"/>
            <w:tcBorders>
              <w:top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dated November 29, 2024, among Studio City Company Limited and certain of its subsidiaries and affiliates with Bank of China</w:t>
              </w:r>
            </w:hyperlink>
          </w:p>
        </w:tc>
        <w:tc>
          <w:tcPr>
            <w:tcW w:w="140" w:type="dxa"/>
            <w:vAlign w:val="bottom"/>
            <w:gridSpan w:val="6"/>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40" w:type="dxa"/>
            <w:vAlign w:val="bottom"/>
            <w:tcBorders>
              <w:bottom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Limited, Macau Branch, among others (incorporated by reference to Exhibit 2.17 from our annual report on Form 20-F for the fiscal</w:t>
              </w:r>
            </w:hyperlink>
          </w:p>
        </w:tc>
        <w:tc>
          <w:tcPr>
            <w:tcW w:w="260" w:type="dxa"/>
            <w:vAlign w:val="bottom"/>
            <w:gridSpan w:val="8"/>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520" w:type="dxa"/>
            <w:vAlign w:val="bottom"/>
            <w:tcBorders>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year ended December 31, 2024 (File No. 001-33178), filed with the SEC on March 21, 2025)</w:t>
              </w:r>
            </w:hyperlink>
          </w:p>
        </w:tc>
        <w:tc>
          <w:tcPr>
            <w:tcW w:w="2980" w:type="dxa"/>
            <w:vAlign w:val="bottom"/>
            <w:gridSpan w:val="15"/>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2.18</w:t>
            </w:r>
          </w:p>
        </w:tc>
        <w:tc>
          <w:tcPr>
            <w:tcW w:w="94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Senior Facilities Agreement, dated April 29, 2020, entered into between, among others, MCO Nominee One Limited, as borrower, and</w:t>
              </w:r>
            </w:hyperlink>
          </w:p>
        </w:tc>
        <w:tc>
          <w:tcPr>
            <w:tcW w:w="100" w:type="dxa"/>
            <w:vAlign w:val="bottom"/>
            <w:gridSpan w:val="4"/>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Bank of China Limited, Macau Branch, Bank of Communications Co., Ltd. Macau Branch and Morgan Stanley Senior Funding, Inc., as</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gridSpan w:val="21"/>
          </w:tcPr>
          <w:p>
            <w:pPr>
              <w:spacing w:after="0" w:line="189"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joint global coordinators regarding the MN1 2020 Revolving Facilities (incorporated by reference to Exhibit 2.37 from our annual</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80" w:type="dxa"/>
            <w:vAlign w:val="bottom"/>
            <w:tcBorders>
              <w:top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report on Form 20-F for the fiscal year ended December 31, 2020 (File No. 001-33178), filed with the SEC on March 31, 2021)</w:t>
              </w:r>
            </w:hyperlink>
          </w:p>
        </w:tc>
        <w:tc>
          <w:tcPr>
            <w:tcW w:w="420" w:type="dxa"/>
            <w:vAlign w:val="bottom"/>
            <w:gridSpan w:val="11"/>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2.19</w:t>
            </w:r>
          </w:p>
        </w:tc>
        <w:tc>
          <w:tcPr>
            <w:tcW w:w="93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Amendment and Restatement Agreement dated June 29, 2023 (in respect of the Senior Facilities Agreement originally dated April 29,</w:t>
              </w:r>
            </w:hyperlink>
          </w:p>
        </w:tc>
        <w:tc>
          <w:tcPr>
            <w:tcW w:w="140" w:type="dxa"/>
            <w:vAlign w:val="bottom"/>
            <w:gridSpan w:val="6"/>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gridSpan w:val="21"/>
          </w:tcPr>
          <w:p>
            <w:pPr>
              <w:spacing w:after="0" w:line="189"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2020 regarding the MN1 2020 Revolving Facilities) among MCO Nominee One Limited, MCO Investments Limited, Melco Resorts</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6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Finance Limited, MCO International Limited, and Bank of China Limited, Macau Branch (incorporated by reference to Exhibit 2.24</w:t>
              </w:r>
            </w:hyperlink>
          </w:p>
        </w:tc>
        <w:tc>
          <w:tcPr>
            <w:tcW w:w="240" w:type="dxa"/>
            <w:vAlign w:val="bottom"/>
            <w:gridSpan w:val="7"/>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40" w:type="dxa"/>
            <w:vAlign w:val="bottom"/>
            <w:tcBorders>
              <w:top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from our annual report on Form 20-F for the fiscal year ended December 31, 2023 (File No. 001-33178), filed with the SEC on</w:t>
              </w:r>
            </w:hyperlink>
          </w:p>
        </w:tc>
        <w:tc>
          <w:tcPr>
            <w:tcW w:w="260" w:type="dxa"/>
            <w:vAlign w:val="bottom"/>
            <w:gridSpan w:val="8"/>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March 22, 2024)</w:t>
              </w:r>
            </w:hyperlink>
          </w:p>
        </w:tc>
        <w:tc>
          <w:tcPr>
            <w:tcW w:w="7720" w:type="dxa"/>
            <w:vAlign w:val="bottom"/>
            <w:tcBorders>
              <w:top w:val="single" w:sz="8" w:color="0000EE"/>
            </w:tcBorders>
            <w:gridSpan w:val="7"/>
          </w:tcPr>
          <w:p>
            <w:pPr>
              <w:spacing w:after="0"/>
              <w:rPr>
                <w:sz w:val="16"/>
                <w:szCs w:val="16"/>
                <w:color w:val="auto"/>
              </w:rPr>
            </w:pPr>
          </w:p>
        </w:tc>
        <w:tc>
          <w:tcPr>
            <w:tcW w:w="600" w:type="dxa"/>
            <w:vAlign w:val="bottom"/>
            <w:gridSpan w:val="13"/>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2.20</w:t>
            </w:r>
          </w:p>
        </w:tc>
        <w:tc>
          <w:tcPr>
            <w:tcW w:w="920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Second Amendment and Restatement Agreement dated April 8, 2024 (in respect of the Senior Facilities Agreement originally dated</w:t>
              </w:r>
            </w:hyperlink>
          </w:p>
        </w:tc>
        <w:tc>
          <w:tcPr>
            <w:tcW w:w="300" w:type="dxa"/>
            <w:vAlign w:val="bottom"/>
            <w:gridSpan w:val="10"/>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8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April 29, 2020 regarding the MN1 2020 Revolving Facilities) among MCO Nominee One Limited, MCO Investments Limited, Melco</w:t>
              </w:r>
            </w:hyperlink>
          </w:p>
        </w:tc>
        <w:tc>
          <w:tcPr>
            <w:tcW w:w="120" w:type="dxa"/>
            <w:vAlign w:val="bottom"/>
            <w:gridSpan w:val="5"/>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60" w:type="dxa"/>
            <w:vAlign w:val="bottom"/>
            <w:tcBorders>
              <w:bottom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Resorts Finance Limited, MCO International Limited, and Bank of China Limited, Macau Branch (incorporated by reference to Exhibit</w:t>
              </w:r>
            </w:hyperlink>
          </w:p>
        </w:tc>
        <w:tc>
          <w:tcPr>
            <w:tcW w:w="4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20" w:type="dxa"/>
            <w:vAlign w:val="bottom"/>
            <w:tcBorders>
              <w:bottom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20</w:t>
              </w:r>
              <w:r>
                <w:rPr>
                  <w:rFonts w:ascii="Times New Roman" w:cs="Times New Roman" w:eastAsia="Times New Roman" w:hAnsi="Times New Roman"/>
                  <w:sz w:val="17"/>
                  <w:szCs w:val="17"/>
                  <w:color w:val="0000EE"/>
                </w:rPr>
                <w:t xml:space="preserve"> from our annual report on Form 20-F for the fiscal year ended December 31, 2024 (File No. 001-33178), filed with the SEC on</w:t>
              </w:r>
            </w:hyperlink>
          </w:p>
        </w:tc>
        <w:tc>
          <w:tcPr>
            <w:tcW w:w="280" w:type="dxa"/>
            <w:vAlign w:val="bottom"/>
            <w:gridSpan w:val="9"/>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Borders>
              <w:bottom w:val="single" w:sz="8" w:color="0000EE"/>
            </w:tcBorders>
          </w:tcPr>
          <w:p>
            <w:pPr>
              <w:spacing w:after="0" w:line="189"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March 21, 2025)</w:t>
              </w:r>
            </w:hyperlink>
          </w:p>
        </w:tc>
        <w:tc>
          <w:tcPr>
            <w:tcW w:w="8320" w:type="dxa"/>
            <w:vAlign w:val="bottom"/>
            <w:gridSpan w:val="20"/>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2.21</w:t>
            </w:r>
          </w:p>
        </w:tc>
        <w:tc>
          <w:tcPr>
            <w:tcW w:w="9500" w:type="dxa"/>
            <w:vAlign w:val="bottom"/>
            <w:gridSpan w:val="21"/>
          </w:tcPr>
          <w:p>
            <w:pPr>
              <w:spacing w:after="0"/>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Indenture dated June 6, 2017 relating to Melco Resorts Finance Limited’s 4.875% 2025 MRF Senior Notes (incorporated by reference</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gridSpan w:val="21"/>
          </w:tcPr>
          <w:p>
            <w:pPr>
              <w:spacing w:after="0" w:line="189" w:lineRule="exact"/>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to Exhibit 2.25 from our annual report on Form 20-F for the fiscal year ended December 31, 2017 (File No. 001-33178), filed with the</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60" w:type="dxa"/>
            <w:vAlign w:val="bottom"/>
            <w:tcBorders>
              <w:top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SEC on April 12, 2018)</w:t>
              </w:r>
            </w:hyperlink>
          </w:p>
        </w:tc>
        <w:tc>
          <w:tcPr>
            <w:tcW w:w="140" w:type="dxa"/>
            <w:vAlign w:val="bottom"/>
            <w:gridSpan w:val="6"/>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2.22</w:t>
            </w:r>
          </w:p>
        </w:tc>
        <w:tc>
          <w:tcPr>
            <w:tcW w:w="9500" w:type="dxa"/>
            <w:vAlign w:val="bottom"/>
            <w:gridSpan w:val="21"/>
          </w:tcPr>
          <w:p>
            <w:pPr>
              <w:spacing w:after="0"/>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Indenture dated April 26, 2019 relating to Melco Resorts Finance Limited’s 5.250% 2026 MRF Senior Notes (incorporated by</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gridSpan w:val="21"/>
          </w:tcPr>
          <w:p>
            <w:pPr>
              <w:spacing w:after="0" w:line="189" w:lineRule="exact"/>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reference to Exhibit 2.28 from our annual report on Form 20-F for the fiscal year ended December 31, 2019 (File No. 001-33178), filed</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80" w:type="dxa"/>
            <w:vAlign w:val="bottom"/>
            <w:tcBorders>
              <w:top w:val="single" w:sz="8" w:color="0000EE"/>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with the SEC on March 31, 2020)</w:t>
              </w:r>
            </w:hyperlink>
          </w:p>
        </w:tc>
        <w:tc>
          <w:tcPr>
            <w:tcW w:w="7060" w:type="dxa"/>
            <w:vAlign w:val="bottom"/>
            <w:tcBorders>
              <w:top w:val="single" w:sz="8" w:color="0000EE"/>
            </w:tcBorders>
            <w:gridSpan w:val="14"/>
          </w:tcPr>
          <w:p>
            <w:pPr>
              <w:spacing w:after="0"/>
              <w:rPr>
                <w:sz w:val="16"/>
                <w:szCs w:val="16"/>
                <w:color w:val="auto"/>
              </w:rPr>
            </w:pPr>
          </w:p>
        </w:tc>
        <w:tc>
          <w:tcPr>
            <w:tcW w:w="60" w:type="dxa"/>
            <w:vAlign w:val="bottom"/>
            <w:gridSpan w:val="2"/>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2.23</w:t>
            </w:r>
          </w:p>
        </w:tc>
        <w:tc>
          <w:tcPr>
            <w:tcW w:w="9500" w:type="dxa"/>
            <w:vAlign w:val="bottom"/>
            <w:gridSpan w:val="21"/>
          </w:tcPr>
          <w:p>
            <w:pPr>
              <w:spacing w:after="0"/>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Indenture dated July 17, 2019 relating to Melco Resorts Finance Limited’s 5.625% 2027 MRF Senior Notes (incorporated by reference</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20" w:type="dxa"/>
            <w:vAlign w:val="bottom"/>
            <w:tcBorders>
              <w:top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to Exhibit 2.29 from our annual report on Form 20-F for the fiscal year ended December 31, 2019 (File No. 001-33178), filed with the</w:t>
              </w:r>
            </w:hyperlink>
          </w:p>
        </w:tc>
        <w:tc>
          <w:tcPr>
            <w:tcW w:w="80" w:type="dxa"/>
            <w:vAlign w:val="bottom"/>
            <w:gridSpan w:val="3"/>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SEC on March 31, 2020)</w:t>
              </w:r>
            </w:hyperlink>
          </w:p>
        </w:tc>
        <w:tc>
          <w:tcPr>
            <w:tcW w:w="7600" w:type="dxa"/>
            <w:vAlign w:val="bottom"/>
            <w:tcBorders>
              <w:top w:val="single" w:sz="8" w:color="0000EE"/>
            </w:tcBorders>
            <w:gridSpan w:val="12"/>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2.24</w:t>
            </w:r>
          </w:p>
        </w:tc>
        <w:tc>
          <w:tcPr>
            <w:tcW w:w="9500" w:type="dxa"/>
            <w:vAlign w:val="bottom"/>
            <w:gridSpan w:val="21"/>
          </w:tcPr>
          <w:p>
            <w:pPr>
              <w:spacing w:after="0"/>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Indenture dated December 4, 2019 relating to Melco Resorts Finance Limited’s 5.375% 2029 MRF Senior Notes (incorporated by</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6700" w:type="dxa"/>
            <w:vAlign w:val="bottom"/>
            <w:gridSpan w:val="5"/>
            <w:shd w:val="clear" w:color="auto" w:fill="0000EE"/>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gridSpan w:val="21"/>
          </w:tcPr>
          <w:p>
            <w:pPr>
              <w:spacing w:after="0" w:line="189" w:lineRule="exact"/>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reference to Exhibit 2.30 from our annual report on Form 20-F for the fiscal year ended December 31, 2019 (File No. 001-33178), filed</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40" w:type="dxa"/>
            <w:vAlign w:val="bottom"/>
            <w:tcBorders>
              <w:top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with the SEC on March 31, 2020)</w:t>
              </w:r>
            </w:hyperlink>
          </w:p>
        </w:tc>
        <w:tc>
          <w:tcPr>
            <w:tcW w:w="60" w:type="dxa"/>
            <w:vAlign w:val="bottom"/>
            <w:gridSpan w:val="2"/>
          </w:tcPr>
          <w:p>
            <w:pPr>
              <w:spacing w:after="0"/>
              <w:rPr>
                <w:sz w:val="16"/>
                <w:szCs w:val="16"/>
                <w:color w:val="auto"/>
              </w:rPr>
            </w:pPr>
          </w:p>
        </w:tc>
      </w:tr>
      <w:tr>
        <w:trPr>
          <w:trHeight w:val="372"/>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tcBorders>
              <w:top w:val="single" w:sz="8" w:color="0000EE"/>
            </w:tcBorders>
            <w:gridSpan w:val="4"/>
          </w:tcPr>
          <w:p>
            <w:pPr>
              <w:spacing w:after="0"/>
              <w:rPr>
                <w:sz w:val="24"/>
                <w:szCs w:val="24"/>
                <w:color w:val="auto"/>
              </w:rPr>
            </w:pPr>
          </w:p>
        </w:tc>
        <w:tc>
          <w:tcPr>
            <w:tcW w:w="4160" w:type="dxa"/>
            <w:vAlign w:val="bottom"/>
            <w:gridSpan w:val="2"/>
          </w:tcPr>
          <w:p>
            <w:pPr>
              <w:jc w:val="right"/>
              <w:ind w:right="2220"/>
              <w:spacing w:after="0"/>
              <w:rPr>
                <w:sz w:val="20"/>
                <w:szCs w:val="20"/>
                <w:color w:val="auto"/>
              </w:rPr>
            </w:pPr>
            <w:r>
              <w:rPr>
                <w:rFonts w:ascii="Times New Roman" w:cs="Times New Roman" w:eastAsia="Times New Roman" w:hAnsi="Times New Roman"/>
                <w:sz w:val="17"/>
                <w:szCs w:val="17"/>
                <w:color w:val="auto"/>
              </w:rPr>
              <w:t>203</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4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2.25</w:t>
            </w:r>
          </w:p>
        </w:tc>
        <w:tc>
          <w:tcPr>
            <w:tcW w:w="93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49">
              <w:r>
                <w:rPr>
                  <w:rFonts w:ascii="Times New Roman" w:cs="Times New Roman" w:eastAsia="Times New Roman" w:hAnsi="Times New Roman"/>
                  <w:sz w:val="17"/>
                  <w:szCs w:val="17"/>
                  <w:color w:val="0000EE"/>
                </w:rPr>
                <w:t>Indenture dated July 15, 2020 relating to Studio City Finance Limited’s 6.000% 2025 SCF Senior Notes (incorporated by reference to</w:t>
              </w:r>
            </w:hyperlink>
          </w:p>
        </w:tc>
        <w:tc>
          <w:tcPr>
            <w:tcW w:w="100" w:type="dxa"/>
            <w:vAlign w:val="bottom"/>
            <w:gridSpan w:val="5"/>
          </w:tcPr>
          <w:p>
            <w:pPr>
              <w:spacing w:after="0"/>
              <w:rPr>
                <w:sz w:val="22"/>
                <w:szCs w:val="22"/>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gridSpan w:val="19"/>
          </w:tcPr>
          <w:p>
            <w:pPr>
              <w:spacing w:after="0" w:line="189" w:lineRule="exact"/>
              <w:rPr>
                <w:rFonts w:ascii="Times New Roman" w:cs="Times New Roman" w:eastAsia="Times New Roman" w:hAnsi="Times New Roman"/>
                <w:sz w:val="17"/>
                <w:szCs w:val="17"/>
                <w:color w:val="0000EE"/>
              </w:rPr>
            </w:pPr>
            <w:hyperlink r:id="rId249">
              <w:r>
                <w:rPr>
                  <w:rFonts w:ascii="Times New Roman" w:cs="Times New Roman" w:eastAsia="Times New Roman" w:hAnsi="Times New Roman"/>
                  <w:sz w:val="17"/>
                  <w:szCs w:val="17"/>
                  <w:color w:val="0000EE"/>
                </w:rPr>
                <w:t>Exhibit 2.32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49">
              <w:r>
                <w:rPr>
                  <w:rFonts w:ascii="Times New Roman" w:cs="Times New Roman" w:eastAsia="Times New Roman" w:hAnsi="Times New Roman"/>
                  <w:sz w:val="17"/>
                  <w:szCs w:val="17"/>
                  <w:color w:val="0000EE"/>
                </w:rPr>
                <w:t>SEC on March 31, 2021)</w:t>
              </w:r>
            </w:hyperlink>
          </w:p>
        </w:tc>
        <w:tc>
          <w:tcPr>
            <w:tcW w:w="7420" w:type="dxa"/>
            <w:vAlign w:val="bottom"/>
            <w:tcBorders>
              <w:top w:val="single" w:sz="8" w:color="0000EE"/>
            </w:tcBorders>
            <w:gridSpan w:val="8"/>
          </w:tcPr>
          <w:p>
            <w:pPr>
              <w:spacing w:after="0"/>
              <w:rPr>
                <w:sz w:val="16"/>
                <w:szCs w:val="16"/>
                <w:color w:val="auto"/>
              </w:rPr>
            </w:pPr>
          </w:p>
        </w:tc>
        <w:tc>
          <w:tcPr>
            <w:tcW w:w="260" w:type="dxa"/>
            <w:vAlign w:val="bottom"/>
            <w:gridSpan w:val="8"/>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2.26</w:t>
            </w:r>
          </w:p>
        </w:tc>
        <w:tc>
          <w:tcPr>
            <w:tcW w:w="93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Indenture dated July 15, 2020 relating to Studio City Finance Limited’s 6.500% 2028 SCF Senior Notes (incorporated by reference to</w:t>
              </w:r>
            </w:hyperlink>
          </w:p>
        </w:tc>
        <w:tc>
          <w:tcPr>
            <w:tcW w:w="100" w:type="dxa"/>
            <w:vAlign w:val="bottom"/>
            <w:gridSpan w:val="5"/>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gridSpan w:val="19"/>
          </w:tcPr>
          <w:p>
            <w:pPr>
              <w:spacing w:after="0" w:line="189" w:lineRule="exact"/>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Exhibit 2.33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SEC on March 31, 2021)</w:t>
              </w:r>
            </w:hyperlink>
          </w:p>
        </w:tc>
        <w:tc>
          <w:tcPr>
            <w:tcW w:w="7420" w:type="dxa"/>
            <w:vAlign w:val="bottom"/>
            <w:tcBorders>
              <w:top w:val="single" w:sz="8" w:color="0000EE"/>
            </w:tcBorders>
            <w:gridSpan w:val="8"/>
          </w:tcPr>
          <w:p>
            <w:pPr>
              <w:spacing w:after="0"/>
              <w:rPr>
                <w:sz w:val="16"/>
                <w:szCs w:val="16"/>
                <w:color w:val="auto"/>
              </w:rPr>
            </w:pPr>
          </w:p>
        </w:tc>
        <w:tc>
          <w:tcPr>
            <w:tcW w:w="260" w:type="dxa"/>
            <w:vAlign w:val="bottom"/>
            <w:gridSpan w:val="8"/>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2.27</w:t>
            </w:r>
          </w:p>
        </w:tc>
        <w:tc>
          <w:tcPr>
            <w:tcW w:w="944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Indenture dated July 21, 2020 relating to Melco Resorts Finance Limited’s 5.750% 2028 MRF Senior Notes (incorporated by reference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gridSpan w:val="19"/>
          </w:tcPr>
          <w:p>
            <w:pPr>
              <w:spacing w:after="0" w:line="189" w:lineRule="exact"/>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to Exhibit 2.34 from our annual report on Form 20-F for the fiscal year ended December 31, 2020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SEC on March 31, 2021)</w:t>
              </w:r>
            </w:hyperlink>
          </w:p>
        </w:tc>
        <w:tc>
          <w:tcPr>
            <w:tcW w:w="7600" w:type="dxa"/>
            <w:vAlign w:val="bottom"/>
            <w:tcBorders>
              <w:top w:val="single" w:sz="8" w:color="0000EE"/>
            </w:tcBorders>
            <w:gridSpan w:val="12"/>
          </w:tcPr>
          <w:p>
            <w:pPr>
              <w:spacing w:after="0"/>
              <w:rPr>
                <w:sz w:val="16"/>
                <w:szCs w:val="16"/>
                <w:color w:val="auto"/>
              </w:rPr>
            </w:pPr>
          </w:p>
        </w:tc>
        <w:tc>
          <w:tcPr>
            <w:tcW w:w="80" w:type="dxa"/>
            <w:vAlign w:val="bottom"/>
            <w:gridSpan w:val="4"/>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2.28</w:t>
            </w:r>
          </w:p>
        </w:tc>
        <w:tc>
          <w:tcPr>
            <w:tcW w:w="9440" w:type="dxa"/>
            <w:vAlign w:val="bottom"/>
            <w:gridSpan w:val="19"/>
          </w:tcPr>
          <w:p>
            <w:pPr>
              <w:spacing w:after="0"/>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Indenture dated January 14, 2021 relating to Studio City Finance Limited’s 5.000% 2029 SCF Senior Notes (incorporated by reference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0" w:type="dxa"/>
            <w:vAlign w:val="bottom"/>
            <w:tcBorders>
              <w:top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to Exhibit 2.35 from our annual report on Form 20-F for the fiscal year ended December 31, 2020 (File No. 001-33178), filed with the</w:t>
              </w:r>
            </w:hyperlink>
          </w:p>
        </w:tc>
        <w:tc>
          <w:tcPr>
            <w:tcW w:w="40" w:type="dxa"/>
            <w:vAlign w:val="bottom"/>
            <w:gridSpan w:val="2"/>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SEC on March 31, 2021)</w:t>
              </w:r>
            </w:hyperlink>
          </w:p>
        </w:tc>
        <w:tc>
          <w:tcPr>
            <w:tcW w:w="7600" w:type="dxa"/>
            <w:vAlign w:val="bottom"/>
            <w:tcBorders>
              <w:top w:val="single" w:sz="8" w:color="0000EE"/>
            </w:tcBorders>
            <w:gridSpan w:val="12"/>
          </w:tcPr>
          <w:p>
            <w:pPr>
              <w:spacing w:after="0"/>
              <w:rPr>
                <w:sz w:val="16"/>
                <w:szCs w:val="16"/>
                <w:color w:val="auto"/>
              </w:rPr>
            </w:pPr>
          </w:p>
        </w:tc>
        <w:tc>
          <w:tcPr>
            <w:tcW w:w="80" w:type="dxa"/>
            <w:vAlign w:val="bottom"/>
            <w:gridSpan w:val="4"/>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2.29</w:t>
            </w:r>
          </w:p>
        </w:tc>
        <w:tc>
          <w:tcPr>
            <w:tcW w:w="93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Indenture relating to 7.000% senior notes due 2027 and dated February 16, 2022, among Studio City Company Limited, as issuer, the</w:t>
              </w:r>
            </w:hyperlink>
          </w:p>
        </w:tc>
        <w:tc>
          <w:tcPr>
            <w:tcW w:w="120" w:type="dxa"/>
            <w:vAlign w:val="bottom"/>
            <w:gridSpan w:val="6"/>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guarantors parties thereto, and Deutsche Bank Trust Company Americas, as trustee (incorporated by reference to Exhibit 2.24 from our</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2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annual report on Form 20-F for the fiscal year ended December 31, 2021 (File No. 001-33178), filed with the SEC on March 31, 2022)</w:t>
              </w:r>
            </w:hyperlink>
          </w:p>
        </w:tc>
        <w:tc>
          <w:tcPr>
            <w:tcW w:w="20" w:type="dxa"/>
            <w:vAlign w:val="bottom"/>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2.30</w:t>
            </w:r>
          </w:p>
        </w:tc>
        <w:tc>
          <w:tcPr>
            <w:tcW w:w="9440" w:type="dxa"/>
            <w:vAlign w:val="bottom"/>
            <w:gridSpan w:val="19"/>
          </w:tcPr>
          <w:p>
            <w:pPr>
              <w:spacing w:after="0"/>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Supplemental Indenture relating to 7.000% senior notes due 2027 and dated February 16, 2022, among Studio City Company Limited,</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380" w:type="dxa"/>
            <w:vAlign w:val="bottom"/>
            <w:tcBorders>
              <w:top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Industrial and Commercial Bank of China (Macau) Limited, as the security agent, DB Trustees (Hong Kong) Limited, as the</w:t>
              </w:r>
            </w:hyperlink>
          </w:p>
        </w:tc>
        <w:tc>
          <w:tcPr>
            <w:tcW w:w="60" w:type="dxa"/>
            <w:vAlign w:val="bottom"/>
            <w:gridSpan w:val="3"/>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7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0" w:type="dxa"/>
            <w:vAlign w:val="bottom"/>
            <w:tcBorders>
              <w:bottom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intercreditor agent, and Deutsche Bank Trust Company Americas, as the trustee (incorporated by reference to Exhibit 2.25 from our</w:t>
              </w:r>
            </w:hyperlink>
          </w:p>
        </w:tc>
        <w:tc>
          <w:tcPr>
            <w:tcW w:w="240" w:type="dxa"/>
            <w:vAlign w:val="bottom"/>
            <w:gridSpan w:val="7"/>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2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54">
              <w:r>
                <w:rPr>
                  <w:rFonts w:ascii="Times New Roman" w:cs="Times New Roman" w:eastAsia="Times New Roman" w:hAnsi="Times New Roman"/>
                  <w:sz w:val="17"/>
                  <w:szCs w:val="17"/>
                  <w:color w:val="0000EE"/>
                </w:rPr>
                <w:t>annual report on Form 20-F for the fiscal year ended December 31, 2021 (File No. 001-33178), filed with the SEC on March 31, 2022)</w:t>
              </w:r>
            </w:hyperlink>
          </w:p>
        </w:tc>
        <w:tc>
          <w:tcPr>
            <w:tcW w:w="20" w:type="dxa"/>
            <w:vAlign w:val="bottom"/>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2.31</w:t>
            </w:r>
          </w:p>
        </w:tc>
        <w:tc>
          <w:tcPr>
            <w:tcW w:w="9440" w:type="dxa"/>
            <w:vAlign w:val="bottom"/>
            <w:gridSpan w:val="19"/>
          </w:tcPr>
          <w:p>
            <w:pPr>
              <w:spacing w:after="0"/>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Credit Facilities Agreement, dated November 29, 2024, entered into between, among others, Studio City Investments Limited, as</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80" w:type="dxa"/>
            <w:vAlign w:val="bottom"/>
            <w:tcBorders>
              <w:top w:val="single" w:sz="8" w:color="0000EE"/>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parent, Studio City Company Limited, as borrower, and Bank of China Limited, Macau Branch, as agent, and Industrial and</w:t>
              </w:r>
            </w:hyperlink>
          </w:p>
        </w:tc>
        <w:tc>
          <w:tcPr>
            <w:tcW w:w="320" w:type="dxa"/>
            <w:vAlign w:val="bottom"/>
            <w:tcBorders>
              <w:top w:val="single" w:sz="8" w:color="0000EE"/>
            </w:tcBorders>
            <w:gridSpan w:val="3"/>
          </w:tcPr>
          <w:p>
            <w:pPr>
              <w:spacing w:after="0"/>
              <w:rPr>
                <w:sz w:val="16"/>
                <w:szCs w:val="16"/>
                <w:color w:val="auto"/>
              </w:rPr>
            </w:pPr>
          </w:p>
        </w:tc>
        <w:tc>
          <w:tcPr>
            <w:tcW w:w="440" w:type="dxa"/>
            <w:vAlign w:val="bottom"/>
            <w:gridSpan w:val="10"/>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320" w:type="dxa"/>
            <w:vAlign w:val="bottom"/>
            <w:tcBorders>
              <w:bottom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Commercial Bank of China (Macau) Limited regarding the SCC 2024 Revolving Facilities (incorporated by reference to Exhibit 2.31</w:t>
              </w:r>
            </w:hyperlink>
          </w:p>
        </w:tc>
        <w:tc>
          <w:tcPr>
            <w:tcW w:w="120" w:type="dxa"/>
            <w:vAlign w:val="bottom"/>
            <w:gridSpan w:val="6"/>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gridSpan w:val="19"/>
          </w:tcPr>
          <w:p>
            <w:pPr>
              <w:spacing w:after="0" w:line="189" w:lineRule="exact"/>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from our annual report on Form 20-F for the fiscal year ended December 31, 2024 (File No. 001-33178), filed with the SEC on</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rPr>
            </w:pPr>
            <w:hyperlink r:id="rId255">
              <w:r>
                <w:rPr>
                  <w:rFonts w:ascii="Times New Roman" w:cs="Times New Roman" w:eastAsia="Times New Roman" w:hAnsi="Times New Roman"/>
                  <w:sz w:val="17"/>
                  <w:szCs w:val="17"/>
                  <w:color w:val="0000EE"/>
                </w:rPr>
                <w:t>March 21, 2025)</w:t>
              </w:r>
            </w:hyperlink>
          </w:p>
        </w:tc>
        <w:tc>
          <w:tcPr>
            <w:tcW w:w="7680" w:type="dxa"/>
            <w:vAlign w:val="bottom"/>
            <w:tcBorders>
              <w:top w:val="single" w:sz="8" w:color="0000EE"/>
            </w:tcBorders>
            <w:gridSpan w:val="7"/>
          </w:tcPr>
          <w:p>
            <w:pPr>
              <w:spacing w:after="0"/>
              <w:rPr>
                <w:sz w:val="16"/>
                <w:szCs w:val="16"/>
                <w:color w:val="auto"/>
              </w:rPr>
            </w:pPr>
          </w:p>
        </w:tc>
        <w:tc>
          <w:tcPr>
            <w:tcW w:w="580" w:type="dxa"/>
            <w:vAlign w:val="bottom"/>
            <w:gridSpan w:val="11"/>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2.32</w:t>
            </w:r>
          </w:p>
        </w:tc>
        <w:tc>
          <w:tcPr>
            <w:tcW w:w="93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Guarantee by Studio City International Holdings Limited, dated November 29, 2024, in relation to the SCC 2024 Revolving Facilities</w:t>
              </w:r>
            </w:hyperlink>
          </w:p>
        </w:tc>
        <w:tc>
          <w:tcPr>
            <w:tcW w:w="100" w:type="dxa"/>
            <w:vAlign w:val="bottom"/>
            <w:gridSpan w:val="5"/>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gridSpan w:val="19"/>
          </w:tcPr>
          <w:p>
            <w:pPr>
              <w:spacing w:after="0" w:line="189" w:lineRule="exact"/>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(incorporated by reference to Exhibit 2.32 from our annual report on Form 20-F for the fiscal year ended December 31, 2024 (File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80" w:type="dxa"/>
            <w:vAlign w:val="bottom"/>
            <w:tcBorders>
              <w:top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56">
              <w:r>
                <w:rPr>
                  <w:rFonts w:ascii="Times New Roman" w:cs="Times New Roman" w:eastAsia="Times New Roman" w:hAnsi="Times New Roman"/>
                  <w:sz w:val="17"/>
                  <w:szCs w:val="17"/>
                  <w:color w:val="0000EE"/>
                </w:rPr>
                <w:t>No. 001-33178), filed with the SEC on March 21, 2025)</w:t>
              </w:r>
            </w:hyperlink>
          </w:p>
        </w:tc>
        <w:tc>
          <w:tcPr>
            <w:tcW w:w="360" w:type="dxa"/>
            <w:vAlign w:val="bottom"/>
            <w:gridSpan w:val="9"/>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2.33</w:t>
            </w:r>
          </w:p>
        </w:tc>
        <w:tc>
          <w:tcPr>
            <w:tcW w:w="9440" w:type="dxa"/>
            <w:vAlign w:val="bottom"/>
            <w:gridSpan w:val="19"/>
          </w:tcPr>
          <w:p>
            <w:pPr>
              <w:spacing w:after="0"/>
              <w:rPr>
                <w:rFonts w:ascii="Times New Roman" w:cs="Times New Roman" w:eastAsia="Times New Roman" w:hAnsi="Times New Roman"/>
                <w:sz w:val="17"/>
                <w:szCs w:val="17"/>
                <w:color w:val="0000EE"/>
              </w:rPr>
            </w:pPr>
            <w:hyperlink r:id="rId257">
              <w:r>
                <w:rPr>
                  <w:rFonts w:ascii="Times New Roman" w:cs="Times New Roman" w:eastAsia="Times New Roman" w:hAnsi="Times New Roman"/>
                  <w:sz w:val="17"/>
                  <w:szCs w:val="17"/>
                  <w:color w:val="0000EE"/>
                </w:rPr>
                <w:t>Indenture dated April 17, 2024 relating to Melco Resorts Finance Limited’s 7.625% 2032 MRF Senior Notes (incorporated by</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257">
              <w:r>
                <w:rPr>
                  <w:rFonts w:ascii="Times New Roman" w:cs="Times New Roman" w:eastAsia="Times New Roman" w:hAnsi="Times New Roman"/>
                  <w:sz w:val="17"/>
                  <w:szCs w:val="17"/>
                  <w:color w:val="0000EE"/>
                </w:rPr>
                <w:t>reference to Exhibit 2.33 from our annual report on Form 20-F for the fiscal year ended December 31, 2024 (File No. 001-33178), filed</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gridSpan w:val="19"/>
          </w:tcPr>
          <w:p>
            <w:pPr>
              <w:spacing w:after="0" w:line="189" w:lineRule="exact"/>
              <w:rPr>
                <w:rFonts w:ascii="Times New Roman" w:cs="Times New Roman" w:eastAsia="Times New Roman" w:hAnsi="Times New Roman"/>
                <w:sz w:val="17"/>
                <w:szCs w:val="17"/>
                <w:color w:val="0000EE"/>
              </w:rPr>
            </w:pPr>
            <w:hyperlink r:id="rId257">
              <w:r>
                <w:rPr>
                  <w:rFonts w:ascii="Times New Roman" w:cs="Times New Roman" w:eastAsia="Times New Roman" w:hAnsi="Times New Roman"/>
                  <w:sz w:val="17"/>
                  <w:szCs w:val="17"/>
                  <w:color w:val="0000EE"/>
                </w:rPr>
                <w:t>with the SEC on March 21, 2025)</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2" w:lineRule="exact"/>
        <w:rPr>
          <w:sz w:val="20"/>
          <w:szCs w:val="20"/>
          <w:color w:val="auto"/>
        </w:rPr>
      </w:pPr>
    </w:p>
    <w:p>
      <w:pPr>
        <w:ind w:left="460" w:hanging="168"/>
        <w:spacing w:after="0"/>
        <w:tabs>
          <w:tab w:leader="none" w:pos="4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2.34*</w:t>
      </w:r>
      <w:r>
        <w:rPr>
          <w:rFonts w:ascii="Times New Roman" w:cs="Times New Roman" w:eastAsia="Times New Roman" w:hAnsi="Times New Roman"/>
          <w:sz w:val="17"/>
          <w:szCs w:val="17"/>
          <w:u w:val="single" w:color="auto"/>
          <w:color w:val="0000EE"/>
        </w:rPr>
        <w:t>Indenture dated September 24, 2025 relating to Melco Resorts Finance Limited’s 6.500% 2033 MRF Senior Notes</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904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r:id="rId258">
              <w:r>
                <w:rPr>
                  <w:rFonts w:ascii="Times New Roman" w:cs="Times New Roman" w:eastAsia="Times New Roman" w:hAnsi="Times New Roman"/>
                  <w:sz w:val="17"/>
                  <w:szCs w:val="17"/>
                  <w:color w:val="0000EE"/>
                </w:rPr>
                <w:t>Form of Indemnification Agreement with our directors and executive officers (incorporated by reference to Exhibit 10.1 from our</w:t>
              </w:r>
            </w:hyperlink>
          </w:p>
        </w:tc>
      </w:tr>
      <w:tr>
        <w:trPr>
          <w:trHeight w:val="189"/>
        </w:trPr>
        <w:tc>
          <w:tcPr>
            <w:tcW w:w="1160" w:type="dxa"/>
            <w:vAlign w:val="bottom"/>
          </w:tcPr>
          <w:p>
            <w:pPr>
              <w:spacing w:after="0"/>
              <w:rPr>
                <w:sz w:val="16"/>
                <w:szCs w:val="16"/>
                <w:color w:val="auto"/>
              </w:rPr>
            </w:pPr>
          </w:p>
        </w:tc>
        <w:tc>
          <w:tcPr>
            <w:tcW w:w="9040" w:type="dxa"/>
            <w:vAlign w:val="bottom"/>
            <w:gridSpan w:val="2"/>
          </w:tcPr>
          <w:p>
            <w:pPr>
              <w:spacing w:after="0" w:line="189" w:lineRule="exact"/>
              <w:rPr>
                <w:rFonts w:ascii="Times New Roman" w:cs="Times New Roman" w:eastAsia="Times New Roman" w:hAnsi="Times New Roman"/>
                <w:sz w:val="17"/>
                <w:szCs w:val="17"/>
                <w:color w:val="0000EE"/>
              </w:rPr>
            </w:pPr>
            <w:hyperlink r:id="rId258">
              <w:r>
                <w:rPr>
                  <w:rFonts w:ascii="Times New Roman" w:cs="Times New Roman" w:eastAsia="Times New Roman" w:hAnsi="Times New Roman"/>
                  <w:sz w:val="17"/>
                  <w:szCs w:val="17"/>
                  <w:color w:val="0000EE"/>
                </w:rPr>
                <w:t>registration statement on Form F-1 (File No. 333-139088), as amended, initially filed with the SEC on December 1, 2006)</w:t>
              </w:r>
            </w:hyperlink>
          </w:p>
        </w:tc>
      </w:tr>
      <w:tr>
        <w:trPr>
          <w:trHeight w:val="372"/>
        </w:trPr>
        <w:tc>
          <w:tcPr>
            <w:tcW w:w="1160" w:type="dxa"/>
            <w:vAlign w:val="bottom"/>
          </w:tcPr>
          <w:p>
            <w:pPr>
              <w:spacing w:after="0"/>
              <w:rPr>
                <w:sz w:val="24"/>
                <w:szCs w:val="24"/>
                <w:color w:val="auto"/>
              </w:rPr>
            </w:pPr>
          </w:p>
        </w:tc>
        <w:tc>
          <w:tcPr>
            <w:tcW w:w="8520" w:type="dxa"/>
            <w:vAlign w:val="bottom"/>
            <w:tcBorders>
              <w:top w:val="single" w:sz="8" w:color="0000EE"/>
            </w:tcBorders>
          </w:tcPr>
          <w:p>
            <w:pPr>
              <w:jc w:val="right"/>
              <w:ind w:right="4133"/>
              <w:spacing w:after="0"/>
              <w:rPr>
                <w:sz w:val="20"/>
                <w:szCs w:val="20"/>
                <w:color w:val="auto"/>
              </w:rPr>
            </w:pPr>
            <w:r>
              <w:rPr>
                <w:rFonts w:ascii="Times New Roman" w:cs="Times New Roman" w:eastAsia="Times New Roman" w:hAnsi="Times New Roman"/>
                <w:sz w:val="17"/>
                <w:szCs w:val="17"/>
                <w:color w:val="auto"/>
              </w:rPr>
              <w:t>204</w:t>
            </w:r>
          </w:p>
        </w:tc>
        <w:tc>
          <w:tcPr>
            <w:tcW w:w="520" w:type="dxa"/>
            <w:vAlign w:val="bottom"/>
          </w:tcPr>
          <w:p>
            <w:pPr>
              <w:spacing w:after="0"/>
              <w:rPr>
                <w:sz w:val="24"/>
                <w:szCs w:val="24"/>
                <w:color w:val="auto"/>
              </w:rPr>
            </w:pPr>
          </w:p>
        </w:tc>
      </w:tr>
    </w:tbl>
    <w:p>
      <w:pPr>
        <w:sectPr>
          <w:pgSz w:w="11900" w:h="16838" w:orient="portrait"/>
          <w:cols w:equalWidth="0" w:num="1">
            <w:col w:w="10900"/>
          </w:cols>
          <w:pgMar w:left="320" w:top="472" w:right="6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48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4.2</w:t>
            </w:r>
          </w:p>
        </w:tc>
        <w:tc>
          <w:tcPr>
            <w:tcW w:w="9480" w:type="dxa"/>
            <w:vAlign w:val="bottom"/>
            <w:gridSpan w:val="30"/>
          </w:tcPr>
          <w:p>
            <w:pPr>
              <w:spacing w:after="0"/>
              <w:rPr>
                <w:rFonts w:ascii="Times New Roman" w:cs="Times New Roman" w:eastAsia="Times New Roman" w:hAnsi="Times New Roman"/>
                <w:sz w:val="17"/>
                <w:szCs w:val="17"/>
                <w:color w:val="0000EE"/>
              </w:rPr>
            </w:pPr>
            <w:hyperlink r:id="rId260">
              <w:r>
                <w:rPr>
                  <w:rFonts w:ascii="Times New Roman" w:cs="Times New Roman" w:eastAsia="Times New Roman" w:hAnsi="Times New Roman"/>
                  <w:sz w:val="17"/>
                  <w:szCs w:val="17"/>
                  <w:color w:val="0000EE"/>
                </w:rPr>
                <w:t>Form of Directors’ Agreement (incorporated by reference to Exhibit 10.2 from our registration statement on Form F-1</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60" w:type="dxa"/>
            <w:vAlign w:val="bottom"/>
            <w:tcBorders>
              <w:top w:val="single" w:sz="8" w:color="0000EE"/>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260">
              <w:r>
                <w:rPr>
                  <w:rFonts w:ascii="Times New Roman" w:cs="Times New Roman" w:eastAsia="Times New Roman" w:hAnsi="Times New Roman"/>
                  <w:sz w:val="17"/>
                  <w:szCs w:val="17"/>
                  <w:color w:val="0000EE"/>
                </w:rPr>
                <w:t>(File No. 333-139088), as amended, initially filed with the SEC on December 1, 2006)</w:t>
              </w:r>
            </w:hyperlink>
          </w:p>
        </w:tc>
        <w:tc>
          <w:tcPr>
            <w:tcW w:w="2180" w:type="dxa"/>
            <w:vAlign w:val="bottom"/>
            <w:tcBorders>
              <w:top w:val="single" w:sz="8" w:color="0000EE"/>
            </w:tcBorders>
            <w:gridSpan w:val="4"/>
          </w:tcPr>
          <w:p>
            <w:pPr>
              <w:spacing w:after="0"/>
              <w:rPr>
                <w:sz w:val="16"/>
                <w:szCs w:val="16"/>
                <w:color w:val="auto"/>
              </w:rPr>
            </w:pPr>
          </w:p>
        </w:tc>
        <w:tc>
          <w:tcPr>
            <w:tcW w:w="1240" w:type="dxa"/>
            <w:vAlign w:val="bottom"/>
            <w:gridSpan w:val="18"/>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4.3</w:t>
            </w:r>
          </w:p>
        </w:tc>
        <w:tc>
          <w:tcPr>
            <w:tcW w:w="9480" w:type="dxa"/>
            <w:vAlign w:val="bottom"/>
            <w:gridSpan w:val="30"/>
          </w:tcPr>
          <w:p>
            <w:pPr>
              <w:spacing w:after="0"/>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Form of Employment Agreement between our Company and an executive officer (incorporated herein by reference to Exhibit 4.3 from</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20" w:type="dxa"/>
            <w:vAlign w:val="bottom"/>
            <w:tcBorders>
              <w:top w:val="single" w:sz="8" w:color="0000EE"/>
            </w:tcBorders>
            <w:gridSpan w:val="29"/>
          </w:tcPr>
          <w:p>
            <w:pPr>
              <w:spacing w:after="0" w:line="189" w:lineRule="exact"/>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our annual report on Form 20-F for the fiscal year ended December 31, 2022 (File No. 001-33178), filed with the SEC on March 31,</w:t>
              </w:r>
            </w:hyperlink>
          </w:p>
        </w:tc>
        <w:tc>
          <w:tcPr>
            <w:tcW w:w="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Borders>
              <w:top w:val="single" w:sz="8" w:color="0000EE"/>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261">
              <w:r>
                <w:rPr>
                  <w:rFonts w:ascii="Times New Roman" w:cs="Times New Roman" w:eastAsia="Times New Roman" w:hAnsi="Times New Roman"/>
                  <w:sz w:val="17"/>
                  <w:szCs w:val="17"/>
                  <w:color w:val="0000EE"/>
                </w:rPr>
                <w:t>2022)</w:t>
              </w:r>
            </w:hyperlink>
          </w:p>
        </w:tc>
        <w:tc>
          <w:tcPr>
            <w:tcW w:w="10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18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4.4</w:t>
            </w:r>
          </w:p>
        </w:tc>
        <w:tc>
          <w:tcPr>
            <w:tcW w:w="89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English Translation of Order of the Secretary for Public Works and Transportation published in Macau Official Gazette no. 9 of</w:t>
              </w:r>
            </w:hyperlink>
          </w:p>
        </w:tc>
        <w:tc>
          <w:tcPr>
            <w:tcW w:w="580" w:type="dxa"/>
            <w:vAlign w:val="bottom"/>
            <w:gridSpan w:val="15"/>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March 1, 2006 (incorporated by reference to Exhibit 10.13 from our registration statement on Form F-1 (File No. 333-139088), as</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60" w:type="dxa"/>
            <w:vAlign w:val="bottom"/>
            <w:tcBorders>
              <w:top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262">
              <w:r>
                <w:rPr>
                  <w:rFonts w:ascii="Times New Roman" w:cs="Times New Roman" w:eastAsia="Times New Roman" w:hAnsi="Times New Roman"/>
                  <w:sz w:val="17"/>
                  <w:szCs w:val="17"/>
                  <w:color w:val="0000EE"/>
                </w:rPr>
                <w:t>amended, initially filed with the SEC on December 1, 2006)</w:t>
              </w:r>
            </w:hyperlink>
          </w:p>
        </w:tc>
        <w:tc>
          <w:tcPr>
            <w:tcW w:w="420" w:type="dxa"/>
            <w:vAlign w:val="bottom"/>
            <w:gridSpan w:val="11"/>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4.5</w:t>
            </w:r>
          </w:p>
        </w:tc>
        <w:tc>
          <w:tcPr>
            <w:tcW w:w="90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English Translation of the amended Order of Secretary for Public Works and Transportation published in Macau Official Gazette</w:t>
              </w:r>
            </w:hyperlink>
          </w:p>
        </w:tc>
        <w:tc>
          <w:tcPr>
            <w:tcW w:w="480" w:type="dxa"/>
            <w:vAlign w:val="bottom"/>
            <w:gridSpan w:val="12"/>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60" w:type="dxa"/>
            <w:vAlign w:val="bottom"/>
            <w:tcBorders>
              <w:bottom w:val="single" w:sz="8" w:color="0000EE"/>
            </w:tcBorders>
            <w:gridSpan w:val="25"/>
          </w:tcPr>
          <w:p>
            <w:pPr>
              <w:spacing w:after="0" w:line="189" w:lineRule="exact"/>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No. 25/2008 in relation to the City of Dreams Land Concession (incorporated by reference to Exhibit 4.30 from our annual report on</w:t>
              </w:r>
            </w:hyperlink>
          </w:p>
        </w:tc>
        <w:tc>
          <w:tcPr>
            <w:tcW w:w="220" w:type="dxa"/>
            <w:vAlign w:val="bottom"/>
            <w:gridSpan w:val="5"/>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3">
              <w:r>
                <w:rPr>
                  <w:rFonts w:ascii="Times New Roman" w:cs="Times New Roman" w:eastAsia="Times New Roman" w:hAnsi="Times New Roman"/>
                  <w:sz w:val="17"/>
                  <w:szCs w:val="17"/>
                  <w:color w:val="0000EE"/>
                </w:rPr>
                <w:t>Form 20-F for the fiscal year ended December 31, 2010 (File No. 001-33178) filed with the SEC on April 1, 2011)</w:t>
              </w:r>
            </w:hyperlink>
          </w:p>
        </w:tc>
      </w:tr>
      <w:tr>
        <w:trPr>
          <w:trHeight w:val="20"/>
        </w:trPr>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4.6</w:t>
            </w:r>
          </w:p>
        </w:tc>
        <w:tc>
          <w:tcPr>
            <w:tcW w:w="920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Cooperation Agreement, dated October 25, 2012, among SM Investments Corporation, SM Land, Inc., SM Hotels Corporation, SM</w:t>
              </w:r>
            </w:hyperlink>
          </w:p>
        </w:tc>
        <w:tc>
          <w:tcPr>
            <w:tcW w:w="280" w:type="dxa"/>
            <w:vAlign w:val="bottom"/>
            <w:gridSpan w:val="8"/>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Commercial Properties, Inc., Belle Corporation, PremiumLeisure and Amusement, Inc., Melco Resorts Leisure, MPHIL Holdings</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980" w:type="dxa"/>
            <w:vAlign w:val="bottom"/>
            <w:tcBorders>
              <w:top w:val="single" w:sz="8" w:color="0000EE"/>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No. 1 Corporation and MPHIL Holdings No. 2 Corporation (incorporated by reference to Exhibit 4.36 from our annual report on</w:t>
              </w:r>
            </w:hyperlink>
          </w:p>
        </w:tc>
        <w:tc>
          <w:tcPr>
            <w:tcW w:w="80" w:type="dxa"/>
            <w:vAlign w:val="bottom"/>
            <w:tcBorders>
              <w:top w:val="single" w:sz="8" w:color="0000EE"/>
            </w:tcBorders>
            <w:gridSpan w:val="2"/>
          </w:tcPr>
          <w:p>
            <w:pPr>
              <w:spacing w:after="0"/>
              <w:rPr>
                <w:sz w:val="16"/>
                <w:szCs w:val="16"/>
                <w:color w:val="auto"/>
              </w:rPr>
            </w:pPr>
          </w:p>
        </w:tc>
        <w:tc>
          <w:tcPr>
            <w:tcW w:w="420" w:type="dxa"/>
            <w:vAlign w:val="bottom"/>
            <w:gridSpan w:val="11"/>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4">
              <w:r>
                <w:rPr>
                  <w:rFonts w:ascii="Times New Roman" w:cs="Times New Roman" w:eastAsia="Times New Roman" w:hAnsi="Times New Roman"/>
                  <w:sz w:val="17"/>
                  <w:szCs w:val="17"/>
                  <w:color w:val="0000EE"/>
                </w:rPr>
                <w:t>Form 20-F for the fiscal year ended December 31, 2012 (File No. 001-33178), filed with the SEC on April 18, 2013)</w:t>
              </w:r>
            </w:hyperlink>
          </w:p>
        </w:tc>
      </w:tr>
      <w:tr>
        <w:trPr>
          <w:trHeight w:val="20"/>
        </w:trPr>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4.7</w:t>
            </w:r>
          </w:p>
        </w:tc>
        <w:tc>
          <w:tcPr>
            <w:tcW w:w="892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265">
              <w:r>
                <w:rPr>
                  <w:rFonts w:ascii="Times New Roman" w:cs="Times New Roman" w:eastAsia="Times New Roman" w:hAnsi="Times New Roman"/>
                  <w:sz w:val="17"/>
                  <w:szCs w:val="17"/>
                  <w:color w:val="0000EE"/>
                </w:rPr>
                <w:t>Contract of Lease, dated October 25, 2012, between Belle Corporation and Melco Resorts Leisure (incorporated by reference to</w:t>
              </w:r>
            </w:hyperlink>
          </w:p>
        </w:tc>
        <w:tc>
          <w:tcPr>
            <w:tcW w:w="560" w:type="dxa"/>
            <w:vAlign w:val="bottom"/>
            <w:gridSpan w:val="14"/>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65">
              <w:r>
                <w:rPr>
                  <w:rFonts w:ascii="Times New Roman" w:cs="Times New Roman" w:eastAsia="Times New Roman" w:hAnsi="Times New Roman"/>
                  <w:sz w:val="17"/>
                  <w:szCs w:val="17"/>
                  <w:color w:val="0000EE"/>
                </w:rPr>
                <w:t>Exhibit 4.37 from our annual report on Form 20-F for the fiscal year ended December 31, 2012 (File No. 001-33178), filed with the</w:t>
              </w:r>
            </w:hyperlink>
          </w:p>
        </w:tc>
        <w:tc>
          <w:tcPr>
            <w:tcW w:w="280" w:type="dxa"/>
            <w:vAlign w:val="bottom"/>
            <w:gridSpan w:val="8"/>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65">
              <w:r>
                <w:rPr>
                  <w:rFonts w:ascii="Times New Roman" w:cs="Times New Roman" w:eastAsia="Times New Roman" w:hAnsi="Times New Roman"/>
                  <w:sz w:val="17"/>
                  <w:szCs w:val="17"/>
                  <w:color w:val="0000EE"/>
                </w:rPr>
                <w:t>SEC on April 18, 2013)</w:t>
              </w:r>
            </w:hyperlink>
          </w:p>
        </w:tc>
        <w:tc>
          <w:tcPr>
            <w:tcW w:w="7800" w:type="dxa"/>
            <w:vAlign w:val="bottom"/>
            <w:gridSpan w:val="25"/>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4.8</w:t>
            </w:r>
          </w:p>
        </w:tc>
        <w:tc>
          <w:tcPr>
            <w:tcW w:w="9480" w:type="dxa"/>
            <w:vAlign w:val="bottom"/>
            <w:gridSpan w:val="30"/>
          </w:tcPr>
          <w:p>
            <w:pPr>
              <w:spacing w:after="0"/>
              <w:rPr>
                <w:rFonts w:ascii="Times New Roman" w:cs="Times New Roman" w:eastAsia="Times New Roman" w:hAnsi="Times New Roman"/>
                <w:sz w:val="17"/>
                <w:szCs w:val="17"/>
                <w:color w:val="0000EE"/>
              </w:rPr>
            </w:pPr>
            <w:hyperlink r:id="rId266">
              <w:r>
                <w:rPr>
                  <w:rFonts w:ascii="Times New Roman" w:cs="Times New Roman" w:eastAsia="Times New Roman" w:hAnsi="Times New Roman"/>
                  <w:sz w:val="17"/>
                  <w:szCs w:val="17"/>
                  <w:color w:val="0000EE"/>
                </w:rPr>
                <w:t>Closing Arrangement Agreement, dated October 25, 2012, among SM Investments Corporation, SM Land, Inc., SM Hotels</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20" w:type="dxa"/>
            <w:vAlign w:val="bottom"/>
            <w:tcBorders>
              <w:bottom w:val="single" w:sz="8" w:color="0000EE"/>
            </w:tcBorders>
            <w:gridSpan w:val="23"/>
          </w:tcPr>
          <w:p>
            <w:pPr>
              <w:spacing w:after="0" w:line="189" w:lineRule="exact"/>
              <w:rPr>
                <w:rFonts w:ascii="Times New Roman" w:cs="Times New Roman" w:eastAsia="Times New Roman" w:hAnsi="Times New Roman"/>
                <w:sz w:val="17"/>
                <w:szCs w:val="17"/>
                <w:color w:val="0000EE"/>
              </w:rPr>
            </w:pPr>
            <w:hyperlink r:id="rId266">
              <w:r>
                <w:rPr>
                  <w:rFonts w:ascii="Times New Roman" w:cs="Times New Roman" w:eastAsia="Times New Roman" w:hAnsi="Times New Roman"/>
                  <w:sz w:val="17"/>
                  <w:szCs w:val="17"/>
                  <w:color w:val="0000EE"/>
                </w:rPr>
                <w:t>Corporation, SM Commercial Properties, Inc., SM Development Corporation, Belle Corporation, PremiumLeisure and Amusement,</w:t>
              </w:r>
            </w:hyperlink>
          </w:p>
        </w:tc>
        <w:tc>
          <w:tcPr>
            <w:tcW w:w="260" w:type="dxa"/>
            <w:vAlign w:val="bottom"/>
            <w:gridSpan w:val="7"/>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8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266">
              <w:r>
                <w:rPr>
                  <w:rFonts w:ascii="Times New Roman" w:cs="Times New Roman" w:eastAsia="Times New Roman" w:hAnsi="Times New Roman"/>
                  <w:sz w:val="17"/>
                  <w:szCs w:val="17"/>
                  <w:color w:val="0000EE"/>
                </w:rPr>
                <w:t>Inc., Melco Resorts Leisure, MPHIL Holdings No. 1 Corporation, MPHIL Holdings No. 2 Corporation, MCO Projects Limited and</w:t>
              </w:r>
            </w:hyperlink>
          </w:p>
        </w:tc>
        <w:tc>
          <w:tcPr>
            <w:tcW w:w="300" w:type="dxa"/>
            <w:vAlign w:val="bottom"/>
            <w:gridSpan w:val="9"/>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6">
              <w:r>
                <w:rPr>
                  <w:rFonts w:ascii="Times New Roman" w:cs="Times New Roman" w:eastAsia="Times New Roman" w:hAnsi="Times New Roman"/>
                  <w:sz w:val="17"/>
                  <w:szCs w:val="17"/>
                  <w:color w:val="0000EE"/>
                </w:rPr>
                <w:t>Melco Property Development Limited (incorporated by reference to Exhibit 4.38 from our annual report on Form 20-F for the fiscal</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0" w:type="dxa"/>
            <w:vAlign w:val="bottom"/>
            <w:tcBorders>
              <w:top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266">
              <w:r>
                <w:rPr>
                  <w:rFonts w:ascii="Times New Roman" w:cs="Times New Roman" w:eastAsia="Times New Roman" w:hAnsi="Times New Roman"/>
                  <w:sz w:val="17"/>
                  <w:szCs w:val="17"/>
                  <w:color w:val="0000EE"/>
                </w:rPr>
                <w:t>year ended December 31, 2012 (File No. 001-33178), filed with the SEC on April 18, 2013)</w:t>
              </w:r>
            </w:hyperlink>
          </w:p>
        </w:tc>
        <w:tc>
          <w:tcPr>
            <w:tcW w:w="280" w:type="dxa"/>
            <w:vAlign w:val="bottom"/>
            <w:gridSpan w:val="8"/>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4.9</w:t>
            </w:r>
          </w:p>
        </w:tc>
        <w:tc>
          <w:tcPr>
            <w:tcW w:w="9480" w:type="dxa"/>
            <w:vAlign w:val="bottom"/>
            <w:gridSpan w:val="30"/>
          </w:tcPr>
          <w:p>
            <w:pPr>
              <w:spacing w:after="0"/>
              <w:rPr>
                <w:rFonts w:ascii="Times New Roman" w:cs="Times New Roman" w:eastAsia="Times New Roman" w:hAnsi="Times New Roman"/>
                <w:sz w:val="17"/>
                <w:szCs w:val="17"/>
                <w:color w:val="0000EE"/>
              </w:rPr>
            </w:pPr>
            <w:hyperlink r:id="rId267">
              <w:r>
                <w:rPr>
                  <w:rFonts w:ascii="Times New Roman" w:cs="Times New Roman" w:eastAsia="Times New Roman" w:hAnsi="Times New Roman"/>
                  <w:sz w:val="17"/>
                  <w:szCs w:val="17"/>
                  <w:color w:val="0000EE"/>
                </w:rPr>
                <w:t>Operating Agreement, dated March 13, 2013, among Belle Corporation, SM Investments Corporation, PremiumLeisure and</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0" w:type="dxa"/>
            <w:vAlign w:val="bottom"/>
            <w:gridSpan w:val="8"/>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360" w:type="dxa"/>
            <w:vAlign w:val="bottom"/>
            <w:tcBorders>
              <w:bottom w:val="single" w:sz="8" w:color="0000EE"/>
            </w:tcBorders>
            <w:gridSpan w:val="28"/>
          </w:tcPr>
          <w:p>
            <w:pPr>
              <w:spacing w:after="0" w:line="189" w:lineRule="exact"/>
              <w:rPr>
                <w:rFonts w:ascii="Times New Roman" w:cs="Times New Roman" w:eastAsia="Times New Roman" w:hAnsi="Times New Roman"/>
                <w:sz w:val="17"/>
                <w:szCs w:val="17"/>
                <w:color w:val="0000EE"/>
              </w:rPr>
            </w:pPr>
            <w:hyperlink r:id="rId267">
              <w:r>
                <w:rPr>
                  <w:rFonts w:ascii="Times New Roman" w:cs="Times New Roman" w:eastAsia="Times New Roman" w:hAnsi="Times New Roman"/>
                  <w:sz w:val="17"/>
                  <w:szCs w:val="17"/>
                  <w:color w:val="0000EE"/>
                </w:rPr>
                <w:t>Amusement, Inc., MPHIL Holdings No. 2 Corporation, MPHIL Holdings No. 1 Corporation and Melco Resorts Leisure (incorporated</w:t>
              </w:r>
            </w:hyperlink>
          </w:p>
        </w:tc>
        <w:tc>
          <w:tcPr>
            <w:tcW w:w="120" w:type="dxa"/>
            <w:vAlign w:val="bottom"/>
            <w:gridSpan w:val="2"/>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7">
              <w:r>
                <w:rPr>
                  <w:rFonts w:ascii="Times New Roman" w:cs="Times New Roman" w:eastAsia="Times New Roman" w:hAnsi="Times New Roman"/>
                  <w:sz w:val="17"/>
                  <w:szCs w:val="17"/>
                  <w:color w:val="0000EE"/>
                </w:rPr>
                <w:t>by reference to Exhibit 4.42 from our annual report on Form 20-F for the fiscal year ended December 31, 2012 (File No. 001-33178),</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267">
              <w:r>
                <w:rPr>
                  <w:rFonts w:ascii="Times New Roman" w:cs="Times New Roman" w:eastAsia="Times New Roman" w:hAnsi="Times New Roman"/>
                  <w:sz w:val="17"/>
                  <w:szCs w:val="17"/>
                  <w:color w:val="0000EE"/>
                </w:rPr>
                <w:t>filed with the SEC on April 18, 2013)</w:t>
              </w:r>
            </w:hyperlink>
          </w:p>
        </w:tc>
        <w:tc>
          <w:tcPr>
            <w:tcW w:w="6660" w:type="dxa"/>
            <w:vAlign w:val="bottom"/>
            <w:tcBorders>
              <w:top w:val="single" w:sz="8" w:color="0000EE"/>
            </w:tcBorders>
            <w:gridSpan w:val="20"/>
          </w:tcPr>
          <w:p>
            <w:pPr>
              <w:spacing w:after="0"/>
              <w:rPr>
                <w:sz w:val="16"/>
                <w:szCs w:val="16"/>
                <w:color w:val="auto"/>
              </w:rPr>
            </w:pPr>
          </w:p>
        </w:tc>
        <w:tc>
          <w:tcPr>
            <w:tcW w:w="180" w:type="dxa"/>
            <w:vAlign w:val="bottom"/>
            <w:gridSpan w:val="4"/>
          </w:tcPr>
          <w:p>
            <w:pPr>
              <w:spacing w:after="0"/>
              <w:rPr>
                <w:sz w:val="16"/>
                <w:szCs w:val="16"/>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4.10</w:t>
            </w:r>
          </w:p>
        </w:tc>
        <w:tc>
          <w:tcPr>
            <w:tcW w:w="9480" w:type="dxa"/>
            <w:vAlign w:val="bottom"/>
            <w:tcBorders>
              <w:bottom w:val="single" w:sz="8" w:color="0000EE"/>
            </w:tcBorders>
            <w:gridSpan w:val="30"/>
          </w:tcPr>
          <w:p>
            <w:pPr>
              <w:spacing w:after="0"/>
              <w:rPr>
                <w:rFonts w:ascii="Times New Roman" w:cs="Times New Roman" w:eastAsia="Times New Roman" w:hAnsi="Times New Roman"/>
                <w:sz w:val="17"/>
                <w:szCs w:val="17"/>
                <w:color w:val="0000EE"/>
              </w:rPr>
            </w:pPr>
            <w:hyperlink r:id="rId268">
              <w:r>
                <w:rPr>
                  <w:rFonts w:ascii="Times New Roman" w:cs="Times New Roman" w:eastAsia="Times New Roman" w:hAnsi="Times New Roman"/>
                  <w:sz w:val="17"/>
                  <w:szCs w:val="17"/>
                  <w:color w:val="0000EE"/>
                </w:rPr>
                <w:t>2011 Share Incentive Plan, as amended, approved at the extraordinary general meeting on December 7, 2016 (incorporated by reference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8">
              <w:r>
                <w:rPr>
                  <w:rFonts w:ascii="Times New Roman" w:cs="Times New Roman" w:eastAsia="Times New Roman" w:hAnsi="Times New Roman"/>
                  <w:sz w:val="17"/>
                  <w:szCs w:val="17"/>
                  <w:color w:val="0000EE"/>
                </w:rPr>
                <w:t>to Exhibit 4.25 from our annual report on Form 20-F for the fiscal year ended December 31, 2016 (File No. 001-33178), filed with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360" w:type="dxa"/>
            <w:vAlign w:val="bottom"/>
            <w:tcBorders>
              <w:top w:val="single" w:sz="8" w:color="0000EE"/>
            </w:tcBorders>
            <w:gridSpan w:val="28"/>
          </w:tcPr>
          <w:p>
            <w:pPr>
              <w:spacing w:after="0" w:line="189" w:lineRule="exact"/>
              <w:rPr>
                <w:rFonts w:ascii="Times New Roman" w:cs="Times New Roman" w:eastAsia="Times New Roman" w:hAnsi="Times New Roman"/>
                <w:sz w:val="17"/>
                <w:szCs w:val="17"/>
                <w:color w:val="0000EE"/>
              </w:rPr>
            </w:pPr>
            <w:hyperlink r:id="rId268">
              <w:r>
                <w:rPr>
                  <w:rFonts w:ascii="Times New Roman" w:cs="Times New Roman" w:eastAsia="Times New Roman" w:hAnsi="Times New Roman"/>
                  <w:sz w:val="17"/>
                  <w:szCs w:val="17"/>
                  <w:color w:val="0000EE"/>
                </w:rPr>
                <w:t>SEC on April 11, 2017)</w:t>
              </w:r>
            </w:hyperlink>
          </w:p>
        </w:tc>
        <w:tc>
          <w:tcPr>
            <w:tcW w:w="120" w:type="dxa"/>
            <w:vAlign w:val="bottom"/>
            <w:gridSpan w:val="2"/>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4.11</w:t>
            </w:r>
          </w:p>
        </w:tc>
        <w:tc>
          <w:tcPr>
            <w:tcW w:w="9320" w:type="dxa"/>
            <w:vAlign w:val="bottom"/>
            <w:tcBorders>
              <w:bottom w:val="single" w:sz="8" w:color="0000EE"/>
            </w:tcBorders>
            <w:gridSpan w:val="27"/>
          </w:tcPr>
          <w:p>
            <w:pPr>
              <w:spacing w:after="0"/>
              <w:rPr>
                <w:rFonts w:ascii="Times New Roman" w:cs="Times New Roman" w:eastAsia="Times New Roman" w:hAnsi="Times New Roman"/>
                <w:sz w:val="17"/>
                <w:szCs w:val="17"/>
                <w:color w:val="0000EE"/>
              </w:rPr>
            </w:pPr>
            <w:hyperlink r:id="rId269">
              <w:r>
                <w:rPr>
                  <w:rFonts w:ascii="Times New Roman" w:cs="Times New Roman" w:eastAsia="Times New Roman" w:hAnsi="Times New Roman"/>
                  <w:sz w:val="17"/>
                  <w:szCs w:val="17"/>
                  <w:color w:val="0000EE"/>
                </w:rPr>
                <w:t>English Translation of the Order of Secretary for Public Works and Transportation published in Macau Official Gazette No. 100/2001</w:t>
              </w:r>
            </w:hyperlink>
          </w:p>
        </w:tc>
        <w:tc>
          <w:tcPr>
            <w:tcW w:w="160" w:type="dxa"/>
            <w:vAlign w:val="bottom"/>
            <w:gridSpan w:val="3"/>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9">
              <w:r>
                <w:rPr>
                  <w:rFonts w:ascii="Times New Roman" w:cs="Times New Roman" w:eastAsia="Times New Roman" w:hAnsi="Times New Roman"/>
                  <w:sz w:val="17"/>
                  <w:szCs w:val="17"/>
                  <w:color w:val="0000EE"/>
                </w:rPr>
                <w:t>dated October 9, 2001, in relation to the Studio City land concession (incorporated by reference to Exhibit 10.19 from Studio City</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40" w:type="dxa"/>
            <w:vAlign w:val="bottom"/>
            <w:gridSpan w:val="1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80" w:type="dxa"/>
            <w:vAlign w:val="bottom"/>
            <w:gridSpan w:val="30"/>
          </w:tcPr>
          <w:p>
            <w:pPr>
              <w:spacing w:after="0" w:line="189" w:lineRule="exact"/>
              <w:rPr>
                <w:rFonts w:ascii="Times New Roman" w:cs="Times New Roman" w:eastAsia="Times New Roman" w:hAnsi="Times New Roman"/>
                <w:sz w:val="17"/>
                <w:szCs w:val="17"/>
                <w:color w:val="0000EE"/>
              </w:rPr>
            </w:pPr>
            <w:hyperlink r:id="rId269">
              <w:r>
                <w:rPr>
                  <w:rFonts w:ascii="Times New Roman" w:cs="Times New Roman" w:eastAsia="Times New Roman" w:hAnsi="Times New Roman"/>
                  <w:sz w:val="17"/>
                  <w:szCs w:val="17"/>
                  <w:color w:val="0000EE"/>
                </w:rPr>
                <w:t>International’s registration statement on Form F-1 (File No. 333-227232), as amended, initially filed with the SEC on September 7,</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rPr>
            </w:pPr>
            <w:hyperlink r:id="rId269">
              <w:r>
                <w:rPr>
                  <w:rFonts w:ascii="Times New Roman" w:cs="Times New Roman" w:eastAsia="Times New Roman" w:hAnsi="Times New Roman"/>
                  <w:sz w:val="17"/>
                  <w:szCs w:val="17"/>
                  <w:color w:val="0000EE"/>
                </w:rPr>
                <w:t>2018)</w:t>
              </w:r>
            </w:hyperlink>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18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60" w:type="dxa"/>
            <w:vAlign w:val="bottom"/>
            <w:gridSpan w:val="8"/>
          </w:tcPr>
          <w:p>
            <w:pPr>
              <w:ind w:left="4040"/>
              <w:spacing w:after="0"/>
              <w:rPr>
                <w:sz w:val="20"/>
                <w:szCs w:val="20"/>
                <w:color w:val="auto"/>
              </w:rPr>
            </w:pPr>
            <w:r>
              <w:rPr>
                <w:rFonts w:ascii="Times New Roman" w:cs="Times New Roman" w:eastAsia="Times New Roman" w:hAnsi="Times New Roman"/>
                <w:sz w:val="17"/>
                <w:szCs w:val="17"/>
                <w:color w:val="auto"/>
              </w:rPr>
              <w:t>205</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0"/>
          </w:cols>
          <w:pgMar w:left="320" w:top="472" w:right="6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60"/>
          </w:cols>
          <w:pgMar w:left="320" w:top="472" w:right="619" w:bottom="1440" w:gutter="0" w:footer="0" w:header="0"/>
        </w:sectPr>
      </w:pP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4.12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271">
        <w:r>
          <w:rPr>
            <w:rFonts w:ascii="Times New Roman" w:cs="Times New Roman" w:eastAsia="Times New Roman" w:hAnsi="Times New Roman"/>
            <w:sz w:val="17"/>
            <w:szCs w:val="17"/>
            <w:u w:val="single" w:color="auto"/>
            <w:color w:val="0000EE"/>
          </w:rPr>
          <w:t>English Translation of the amended Order of Secretary for Public Works and Transportation published in Macau Official Gazette</w:t>
        </w:r>
      </w:hyperlink>
    </w:p>
    <w:p>
      <w:pPr>
        <w:spacing w:after="0" w:line="32" w:lineRule="exact"/>
        <w:rPr>
          <w:sz w:val="20"/>
          <w:szCs w:val="20"/>
          <w:color w:val="auto"/>
        </w:rPr>
      </w:pPr>
    </w:p>
    <w:p>
      <w:pPr>
        <w:jc w:val="both"/>
        <w:spacing w:after="0" w:line="265" w:lineRule="auto"/>
        <w:rPr>
          <w:rFonts w:ascii="Times New Roman" w:cs="Times New Roman" w:eastAsia="Times New Roman" w:hAnsi="Times New Roman"/>
          <w:sz w:val="17"/>
          <w:szCs w:val="17"/>
          <w:u w:val="single" w:color="auto"/>
          <w:color w:val="0000EE"/>
        </w:rPr>
      </w:pPr>
      <w:hyperlink r:id="rId271">
        <w:r>
          <w:rPr>
            <w:rFonts w:ascii="Times New Roman" w:cs="Times New Roman" w:eastAsia="Times New Roman" w:hAnsi="Times New Roman"/>
            <w:sz w:val="17"/>
            <w:szCs w:val="17"/>
            <w:u w:val="single" w:color="auto"/>
            <w:color w:val="0000EE"/>
          </w:rPr>
          <w:t>No. 31/2012 dated July 19, 2012, in relation to the Studio City land concession (incorporated by reference to Exhibit 10.20 from Studio</w:t>
        </w:r>
      </w:hyperlink>
      <w:r>
        <w:rPr>
          <w:rFonts w:ascii="Times New Roman" w:cs="Times New Roman" w:eastAsia="Times New Roman" w:hAnsi="Times New Roman"/>
          <w:sz w:val="17"/>
          <w:szCs w:val="17"/>
          <w:u w:val="single" w:color="auto"/>
          <w:color w:val="0000EE"/>
        </w:rPr>
        <w:t xml:space="preserve"> </w:t>
      </w:r>
      <w:hyperlink r:id="rId271">
        <w:r>
          <w:rPr>
            <w:rFonts w:ascii="Times New Roman" w:cs="Times New Roman" w:eastAsia="Times New Roman" w:hAnsi="Times New Roman"/>
            <w:sz w:val="17"/>
            <w:szCs w:val="17"/>
            <w:u w:val="single" w:color="auto"/>
            <w:color w:val="0000EE"/>
          </w:rPr>
          <w:t>City International’s registration statement on Form F-1 (File No. 333-227232), as amended, initially filed with the SEC on September 7,</w:t>
        </w:r>
      </w:hyperlink>
      <w:r>
        <w:rPr>
          <w:rFonts w:ascii="Times New Roman" w:cs="Times New Roman" w:eastAsia="Times New Roman" w:hAnsi="Times New Roman"/>
          <w:sz w:val="17"/>
          <w:szCs w:val="17"/>
          <w:u w:val="single" w:color="auto"/>
          <w:color w:val="0000EE"/>
        </w:rPr>
        <w:t xml:space="preserve"> </w:t>
      </w:r>
      <w:hyperlink r:id="rId271">
        <w:r>
          <w:rPr>
            <w:rFonts w:ascii="Times New Roman" w:cs="Times New Roman" w:eastAsia="Times New Roman" w:hAnsi="Times New Roman"/>
            <w:sz w:val="17"/>
            <w:szCs w:val="17"/>
            <w:u w:val="single" w:color="auto"/>
            <w:color w:val="0000EE"/>
          </w:rPr>
          <w:t>2018)</w:t>
        </w:r>
      </w:hyperlink>
    </w:p>
    <w:p>
      <w:pPr>
        <w:spacing w:after="0" w:line="59"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540"/>
            <w:col w:w="9500"/>
          </w:cols>
          <w:pgMar w:left="320" w:top="472" w:right="61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4.13</w:t>
            </w:r>
          </w:p>
        </w:tc>
        <w:tc>
          <w:tcPr>
            <w:tcW w:w="9480" w:type="dxa"/>
            <w:vAlign w:val="bottom"/>
            <w:gridSpan w:val="20"/>
          </w:tcPr>
          <w:p>
            <w:pPr>
              <w:spacing w:after="0"/>
              <w:rPr>
                <w:rFonts w:ascii="Times New Roman" w:cs="Times New Roman" w:eastAsia="Times New Roman" w:hAnsi="Times New Roman"/>
                <w:sz w:val="17"/>
                <w:szCs w:val="17"/>
                <w:color w:val="0000EE"/>
              </w:rPr>
            </w:pPr>
            <w:hyperlink r:id="rId272">
              <w:r>
                <w:rPr>
                  <w:rFonts w:ascii="Times New Roman" w:cs="Times New Roman" w:eastAsia="Times New Roman" w:hAnsi="Times New Roman"/>
                  <w:sz w:val="17"/>
                  <w:szCs w:val="17"/>
                  <w:color w:val="0000EE"/>
                </w:rPr>
                <w:t>English Translation of the amended Order of Secretary for Public Works and Transportation published in Macau Official Gazette</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2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72">
              <w:r>
                <w:rPr>
                  <w:rFonts w:ascii="Times New Roman" w:cs="Times New Roman" w:eastAsia="Times New Roman" w:hAnsi="Times New Roman"/>
                  <w:sz w:val="17"/>
                  <w:szCs w:val="17"/>
                  <w:color w:val="0000EE"/>
                </w:rPr>
                <w:t>No. 92/2015 dated September 10, 2015, in relation to the Studio City land concession (incorporated by reference to Exhibit 10.21 from</w:t>
              </w:r>
            </w:hyperlink>
          </w:p>
        </w:tc>
        <w:tc>
          <w:tcPr>
            <w:tcW w:w="60" w:type="dxa"/>
            <w:vAlign w:val="bottom"/>
            <w:gridSpan w:val="2"/>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20"/>
          </w:tcPr>
          <w:p>
            <w:pPr>
              <w:spacing w:after="0" w:line="189" w:lineRule="exact"/>
              <w:rPr>
                <w:rFonts w:ascii="Times New Roman" w:cs="Times New Roman" w:eastAsia="Times New Roman" w:hAnsi="Times New Roman"/>
                <w:sz w:val="17"/>
                <w:szCs w:val="17"/>
                <w:color w:val="0000EE"/>
              </w:rPr>
            </w:pPr>
            <w:hyperlink r:id="rId272">
              <w:r>
                <w:rPr>
                  <w:rFonts w:ascii="Times New Roman" w:cs="Times New Roman" w:eastAsia="Times New Roman" w:hAnsi="Times New Roman"/>
                  <w:sz w:val="17"/>
                  <w:szCs w:val="17"/>
                  <w:color w:val="0000EE"/>
                </w:rPr>
                <w:t>Studio City International’s registration statement on Form F-1 (File No. 333-227232), as amended, initially filed with the SEC on</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rPr>
            </w:pPr>
            <w:hyperlink r:id="rId272">
              <w:r>
                <w:rPr>
                  <w:rFonts w:ascii="Times New Roman" w:cs="Times New Roman" w:eastAsia="Times New Roman" w:hAnsi="Times New Roman"/>
                  <w:sz w:val="17"/>
                  <w:szCs w:val="17"/>
                  <w:color w:val="0000EE"/>
                </w:rPr>
                <w:t>September 7, 2018)</w:t>
              </w:r>
            </w:hyperlink>
          </w:p>
        </w:tc>
        <w:tc>
          <w:tcPr>
            <w:tcW w:w="7640" w:type="dxa"/>
            <w:vAlign w:val="bottom"/>
            <w:tcBorders>
              <w:top w:val="single" w:sz="8" w:color="0000EE"/>
            </w:tcBorders>
            <w:gridSpan w:val="11"/>
          </w:tcPr>
          <w:p>
            <w:pPr>
              <w:spacing w:after="0"/>
              <w:rPr>
                <w:sz w:val="16"/>
                <w:szCs w:val="16"/>
                <w:color w:val="auto"/>
              </w:rPr>
            </w:pPr>
          </w:p>
        </w:tc>
        <w:tc>
          <w:tcPr>
            <w:tcW w:w="460" w:type="dxa"/>
            <w:vAlign w:val="bottom"/>
            <w:gridSpan w:val="8"/>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4.14</w:t>
            </w:r>
          </w:p>
        </w:tc>
        <w:tc>
          <w:tcPr>
            <w:tcW w:w="87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273">
              <w:r>
                <w:rPr>
                  <w:rFonts w:ascii="Times New Roman" w:cs="Times New Roman" w:eastAsia="Times New Roman" w:hAnsi="Times New Roman"/>
                  <w:sz w:val="17"/>
                  <w:szCs w:val="17"/>
                  <w:color w:val="0000EE"/>
                </w:rPr>
                <w:t>Amended and Restated Shareholders’ Agreement, entered into among MCO Cotai Investments Limited, New Cotai, LLC, the</w:t>
              </w:r>
            </w:hyperlink>
          </w:p>
        </w:tc>
        <w:tc>
          <w:tcPr>
            <w:tcW w:w="700" w:type="dxa"/>
            <w:vAlign w:val="bottom"/>
            <w:gridSpan w:val="11"/>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20"/>
          </w:tcPr>
          <w:p>
            <w:pPr>
              <w:spacing w:after="0" w:line="189" w:lineRule="exact"/>
              <w:rPr>
                <w:rFonts w:ascii="Times New Roman" w:cs="Times New Roman" w:eastAsia="Times New Roman" w:hAnsi="Times New Roman"/>
                <w:sz w:val="17"/>
                <w:szCs w:val="17"/>
                <w:color w:val="0000EE"/>
              </w:rPr>
            </w:pPr>
            <w:hyperlink r:id="rId273">
              <w:r>
                <w:rPr>
                  <w:rFonts w:ascii="Times New Roman" w:cs="Times New Roman" w:eastAsia="Times New Roman" w:hAnsi="Times New Roman"/>
                  <w:sz w:val="17"/>
                  <w:szCs w:val="17"/>
                  <w:color w:val="0000EE"/>
                </w:rPr>
                <w:t>Company and SCI in relation to SCI (incorporated by reference to Exhibit 4.25 from our annual report on Form 20-F for the fiscal year</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20" w:type="dxa"/>
            <w:vAlign w:val="bottom"/>
            <w:tcBorders>
              <w:top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73">
              <w:r>
                <w:rPr>
                  <w:rFonts w:ascii="Times New Roman" w:cs="Times New Roman" w:eastAsia="Times New Roman" w:hAnsi="Times New Roman"/>
                  <w:sz w:val="17"/>
                  <w:szCs w:val="17"/>
                  <w:color w:val="0000EE"/>
                </w:rPr>
                <w:t>ended December 31, 2018 (File No.001-33178), filed with the SEC on March 29, 2019)</w:t>
              </w:r>
            </w:hyperlink>
          </w:p>
        </w:tc>
        <w:tc>
          <w:tcPr>
            <w:tcW w:w="60" w:type="dxa"/>
            <w:vAlign w:val="bottom"/>
            <w:gridSpan w:val="2"/>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4.15</w:t>
            </w:r>
          </w:p>
        </w:tc>
        <w:tc>
          <w:tcPr>
            <w:tcW w:w="92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74">
              <w:r>
                <w:rPr>
                  <w:rFonts w:ascii="Times New Roman" w:cs="Times New Roman" w:eastAsia="Times New Roman" w:hAnsi="Times New Roman"/>
                  <w:sz w:val="17"/>
                  <w:szCs w:val="17"/>
                  <w:color w:val="0000EE"/>
                </w:rPr>
                <w:t>Shareholders’ Agreement, dated July 31, 2019, between The Cyprus Phassouri (Zakaki) Limited, MCO Europe Holdings (NL) B.V.,</w:t>
              </w:r>
            </w:hyperlink>
          </w:p>
        </w:tc>
        <w:tc>
          <w:tcPr>
            <w:tcW w:w="240" w:type="dxa"/>
            <w:vAlign w:val="bottom"/>
            <w:gridSpan w:val="6"/>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20"/>
          </w:tcPr>
          <w:p>
            <w:pPr>
              <w:spacing w:after="0" w:line="189" w:lineRule="exact"/>
              <w:rPr>
                <w:rFonts w:ascii="Times New Roman" w:cs="Times New Roman" w:eastAsia="Times New Roman" w:hAnsi="Times New Roman"/>
                <w:sz w:val="17"/>
                <w:szCs w:val="17"/>
                <w:color w:val="0000EE"/>
              </w:rPr>
            </w:pPr>
            <w:hyperlink r:id="rId274">
              <w:r>
                <w:rPr>
                  <w:rFonts w:ascii="Times New Roman" w:cs="Times New Roman" w:eastAsia="Times New Roman" w:hAnsi="Times New Roman"/>
                  <w:sz w:val="17"/>
                  <w:szCs w:val="17"/>
                  <w:color w:val="0000EE"/>
                </w:rPr>
                <w:t>ICR Cyprus Holdings Limited and Melco Resorts &amp; Entertainment Limited relating to ICR Cyprus Holdings Limited (incorporated by</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20"/>
          </w:tcPr>
          <w:p>
            <w:pPr>
              <w:spacing w:after="0" w:line="189" w:lineRule="exact"/>
              <w:rPr>
                <w:rFonts w:ascii="Times New Roman" w:cs="Times New Roman" w:eastAsia="Times New Roman" w:hAnsi="Times New Roman"/>
                <w:sz w:val="17"/>
                <w:szCs w:val="17"/>
                <w:color w:val="0000EE"/>
              </w:rPr>
            </w:pPr>
            <w:hyperlink r:id="rId274">
              <w:r>
                <w:rPr>
                  <w:rFonts w:ascii="Times New Roman" w:cs="Times New Roman" w:eastAsia="Times New Roman" w:hAnsi="Times New Roman"/>
                  <w:sz w:val="17"/>
                  <w:szCs w:val="17"/>
                  <w:color w:val="0000EE"/>
                </w:rPr>
                <w:t>reference to Exhibit 4.31 from our annual report on Form 20-F for the fiscal year ended December 31, 2019 (File No.001-33178), filed</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0" w:type="dxa"/>
            <w:vAlign w:val="bottom"/>
            <w:tcBorders>
              <w:top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74">
              <w:r>
                <w:rPr>
                  <w:rFonts w:ascii="Times New Roman" w:cs="Times New Roman" w:eastAsia="Times New Roman" w:hAnsi="Times New Roman"/>
                  <w:sz w:val="17"/>
                  <w:szCs w:val="17"/>
                  <w:color w:val="0000EE"/>
                </w:rPr>
                <w:t>with the SEC on March 31, 2020)</w:t>
              </w:r>
            </w:hyperlink>
          </w:p>
        </w:tc>
        <w:tc>
          <w:tcPr>
            <w:tcW w:w="80" w:type="dxa"/>
            <w:vAlign w:val="bottom"/>
            <w:gridSpan w:val="3"/>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4.16</w:t>
            </w:r>
          </w:p>
        </w:tc>
        <w:tc>
          <w:tcPr>
            <w:tcW w:w="9480" w:type="dxa"/>
            <w:vAlign w:val="bottom"/>
            <w:gridSpan w:val="20"/>
          </w:tcPr>
          <w:p>
            <w:pPr>
              <w:spacing w:after="0"/>
              <w:rPr>
                <w:rFonts w:ascii="Times New Roman" w:cs="Times New Roman" w:eastAsia="Times New Roman" w:hAnsi="Times New Roman"/>
                <w:sz w:val="17"/>
                <w:szCs w:val="17"/>
                <w:color w:val="0000EE"/>
              </w:rPr>
            </w:pPr>
            <w:hyperlink r:id="rId275">
              <w:r>
                <w:rPr>
                  <w:rFonts w:ascii="Times New Roman" w:cs="Times New Roman" w:eastAsia="Times New Roman" w:hAnsi="Times New Roman"/>
                  <w:sz w:val="17"/>
                  <w:szCs w:val="17"/>
                  <w:color w:val="0000EE"/>
                </w:rPr>
                <w:t>Supplemental Agreement, dated March 22, 2021, to the Operating Agreement, dated March 13, 2013, among Belle Corporation, SM</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4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75">
              <w:r>
                <w:rPr>
                  <w:rFonts w:ascii="Times New Roman" w:cs="Times New Roman" w:eastAsia="Times New Roman" w:hAnsi="Times New Roman"/>
                  <w:sz w:val="17"/>
                  <w:szCs w:val="17"/>
                  <w:color w:val="0000EE"/>
                </w:rPr>
                <w:t>Investments Corporation, PremiumLeisure and Amusement, Inc., MPHIL Holdings No. 2 Corporation, MPHIL Holdings No. 1</w:t>
              </w:r>
            </w:hyperlink>
          </w:p>
        </w:tc>
        <w:tc>
          <w:tcPr>
            <w:tcW w:w="240" w:type="dxa"/>
            <w:vAlign w:val="bottom"/>
            <w:gridSpan w:val="6"/>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4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00" w:type="dxa"/>
            <w:vAlign w:val="bottom"/>
            <w:tcBorders>
              <w:bottom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75">
              <w:r>
                <w:rPr>
                  <w:rFonts w:ascii="Times New Roman" w:cs="Times New Roman" w:eastAsia="Times New Roman" w:hAnsi="Times New Roman"/>
                  <w:sz w:val="17"/>
                  <w:szCs w:val="17"/>
                  <w:color w:val="0000EE"/>
                </w:rPr>
                <w:t>Corporation and Melco Resorts Leisure (incorporated by reference to Exhibit 4.35 from our annual report on Form 20-F for the fiscal</w:t>
              </w:r>
            </w:hyperlink>
          </w:p>
        </w:tc>
        <w:tc>
          <w:tcPr>
            <w:tcW w:w="180" w:type="dxa"/>
            <w:vAlign w:val="bottom"/>
            <w:gridSpan w:val="5"/>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80" w:type="dxa"/>
            <w:vAlign w:val="bottom"/>
            <w:tcBorders>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275">
              <w:r>
                <w:rPr>
                  <w:rFonts w:ascii="Times New Roman" w:cs="Times New Roman" w:eastAsia="Times New Roman" w:hAnsi="Times New Roman"/>
                  <w:sz w:val="17"/>
                  <w:szCs w:val="17"/>
                  <w:color w:val="0000EE"/>
                </w:rPr>
                <w:t>year ended December 31, 2020 (File No.001-33178), filed with the SEC on March 31, 2021)</w:t>
              </w:r>
            </w:hyperlink>
          </w:p>
        </w:tc>
        <w:tc>
          <w:tcPr>
            <w:tcW w:w="3000" w:type="dxa"/>
            <w:vAlign w:val="bottom"/>
            <w:gridSpan w:val="12"/>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4.17</w:t>
            </w:r>
          </w:p>
        </w:tc>
        <w:tc>
          <w:tcPr>
            <w:tcW w:w="9480" w:type="dxa"/>
            <w:vAlign w:val="bottom"/>
            <w:gridSpan w:val="20"/>
          </w:tcPr>
          <w:p>
            <w:pPr>
              <w:spacing w:after="0"/>
              <w:rPr>
                <w:rFonts w:ascii="Times New Roman" w:cs="Times New Roman" w:eastAsia="Times New Roman" w:hAnsi="Times New Roman"/>
                <w:sz w:val="17"/>
                <w:szCs w:val="17"/>
                <w:color w:val="0000EE"/>
              </w:rPr>
            </w:pPr>
            <w:hyperlink r:id="rId276">
              <w:r>
                <w:rPr>
                  <w:rFonts w:ascii="Times New Roman" w:cs="Times New Roman" w:eastAsia="Times New Roman" w:hAnsi="Times New Roman"/>
                  <w:sz w:val="17"/>
                  <w:szCs w:val="17"/>
                  <w:color w:val="0000EE"/>
                </w:rPr>
                <w:t>Supplemental Agreement, dated March 22, 2021, to the Contract of Lease, dated October 25, 2012, between Belle Corporation and</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140" w:type="dxa"/>
            <w:vAlign w:val="bottom"/>
            <w:tcBorders>
              <w:top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76">
              <w:r>
                <w:rPr>
                  <w:rFonts w:ascii="Times New Roman" w:cs="Times New Roman" w:eastAsia="Times New Roman" w:hAnsi="Times New Roman"/>
                  <w:sz w:val="17"/>
                  <w:szCs w:val="17"/>
                  <w:color w:val="0000EE"/>
                </w:rPr>
                <w:t>Melco Resorts Leisure (incorporated by reference to Exhibit 4.36 from our annual report on Form 20-F for the fiscal year ended</w:t>
              </w:r>
            </w:hyperlink>
          </w:p>
        </w:tc>
        <w:tc>
          <w:tcPr>
            <w:tcW w:w="340" w:type="dxa"/>
            <w:vAlign w:val="bottom"/>
            <w:gridSpan w:val="7"/>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980" w:type="dxa"/>
            <w:vAlign w:val="bottom"/>
            <w:tcBorders>
              <w:top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76">
              <w:r>
                <w:rPr>
                  <w:rFonts w:ascii="Times New Roman" w:cs="Times New Roman" w:eastAsia="Times New Roman" w:hAnsi="Times New Roman"/>
                  <w:sz w:val="17"/>
                  <w:szCs w:val="17"/>
                  <w:color w:val="0000EE"/>
                </w:rPr>
                <w:t>December 31, 2020 (File No.001-33178), filed with the SEC on March 31, 2021)</w:t>
              </w:r>
            </w:hyperlink>
          </w:p>
        </w:tc>
        <w:tc>
          <w:tcPr>
            <w:tcW w:w="500" w:type="dxa"/>
            <w:vAlign w:val="bottom"/>
            <w:gridSpan w:val="9"/>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4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4.18</w:t>
            </w:r>
          </w:p>
        </w:tc>
        <w:tc>
          <w:tcPr>
            <w:tcW w:w="944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277">
              <w:r>
                <w:rPr>
                  <w:rFonts w:ascii="Times New Roman" w:cs="Times New Roman" w:eastAsia="Times New Roman" w:hAnsi="Times New Roman"/>
                  <w:sz w:val="17"/>
                  <w:szCs w:val="17"/>
                  <w:color w:val="0000EE"/>
                </w:rPr>
                <w:t>2021 Share Incentive Plan (as amended) (incorporated by reference to Exhibit 4.6 of post-effective amendment no. 1 to our registration</w:t>
              </w:r>
            </w:hyperlink>
          </w:p>
        </w:tc>
        <w:tc>
          <w:tcPr>
            <w:tcW w:w="40" w:type="dxa"/>
            <w:vAlign w:val="bottom"/>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20"/>
          </w:tcPr>
          <w:p>
            <w:pPr>
              <w:spacing w:after="0" w:line="189" w:lineRule="exact"/>
              <w:rPr>
                <w:rFonts w:ascii="Times New Roman" w:cs="Times New Roman" w:eastAsia="Times New Roman" w:hAnsi="Times New Roman"/>
                <w:sz w:val="17"/>
                <w:szCs w:val="17"/>
                <w:color w:val="0000EE"/>
              </w:rPr>
            </w:pPr>
            <w:hyperlink r:id="rId277">
              <w:r>
                <w:rPr>
                  <w:rFonts w:ascii="Times New Roman" w:cs="Times New Roman" w:eastAsia="Times New Roman" w:hAnsi="Times New Roman"/>
                  <w:sz w:val="17"/>
                  <w:szCs w:val="17"/>
                  <w:color w:val="0000EE"/>
                </w:rPr>
                <w:t>statement on Form S-8 (File No. 333-261554), filed with the SEC on June 13, 2024)</w:t>
              </w:r>
            </w:hyperlink>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4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4.19</w:t>
            </w:r>
          </w:p>
        </w:tc>
        <w:tc>
          <w:tcPr>
            <w:tcW w:w="948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278">
              <w:r>
                <w:rPr>
                  <w:rFonts w:ascii="Times New Roman" w:cs="Times New Roman" w:eastAsia="Times New Roman" w:hAnsi="Times New Roman"/>
                  <w:sz w:val="17"/>
                  <w:szCs w:val="17"/>
                  <w:color w:val="0000EE"/>
                </w:rPr>
                <w:t>English Translation of the Provisions of the Concession Contract (incorporated by reference to Exhibit 99.3 from our Current Report on</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6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278">
              <w:r>
                <w:rPr>
                  <w:rFonts w:ascii="Times New Roman" w:cs="Times New Roman" w:eastAsia="Times New Roman" w:hAnsi="Times New Roman"/>
                  <w:sz w:val="17"/>
                  <w:szCs w:val="17"/>
                  <w:color w:val="0000EE"/>
                </w:rPr>
                <w:t>Form 6-K (File No. 001-33178), furnished with the SEC on December 19, 2022)</w:t>
              </w:r>
            </w:hyperlink>
          </w:p>
        </w:tc>
        <w:tc>
          <w:tcPr>
            <w:tcW w:w="3820" w:type="dxa"/>
            <w:vAlign w:val="bottom"/>
            <w:gridSpan w:val="16"/>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4.20</w:t>
            </w:r>
          </w:p>
        </w:tc>
        <w:tc>
          <w:tcPr>
            <w:tcW w:w="938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279">
              <w:r>
                <w:rPr>
                  <w:rFonts w:ascii="Times New Roman" w:cs="Times New Roman" w:eastAsia="Times New Roman" w:hAnsi="Times New Roman"/>
                  <w:sz w:val="17"/>
                  <w:szCs w:val="17"/>
                  <w:color w:val="0000EE"/>
                </w:rPr>
                <w:t>Studio City Casino Agreement by and among Studio City Entertainment Limited and Melco Resorts (Macau) Limited, dated June 23,</w:t>
              </w:r>
            </w:hyperlink>
          </w:p>
        </w:tc>
        <w:tc>
          <w:tcPr>
            <w:tcW w:w="100" w:type="dxa"/>
            <w:vAlign w:val="bottom"/>
            <w:gridSpan w:val="4"/>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80" w:type="dxa"/>
            <w:vAlign w:val="bottom"/>
            <w:gridSpan w:val="20"/>
          </w:tcPr>
          <w:p>
            <w:pPr>
              <w:spacing w:after="0" w:line="189" w:lineRule="exact"/>
              <w:rPr>
                <w:rFonts w:ascii="Times New Roman" w:cs="Times New Roman" w:eastAsia="Times New Roman" w:hAnsi="Times New Roman"/>
                <w:sz w:val="17"/>
                <w:szCs w:val="17"/>
                <w:color w:val="0000EE"/>
              </w:rPr>
            </w:pPr>
            <w:hyperlink r:id="rId279">
              <w:r>
                <w:rPr>
                  <w:rFonts w:ascii="Times New Roman" w:cs="Times New Roman" w:eastAsia="Times New Roman" w:hAnsi="Times New Roman"/>
                  <w:sz w:val="17"/>
                  <w:szCs w:val="17"/>
                  <w:color w:val="0000EE"/>
                </w:rPr>
                <w:t>2022 (incorporated by reference to Exhibit 4.19 from Studio City International’s annual report on Form 20-F for the fiscal year ended</w:t>
              </w:r>
            </w:hyperlink>
          </w:p>
        </w:tc>
      </w:tr>
      <w:tr>
        <w:trPr>
          <w:trHeight w:val="189"/>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720" w:type="dxa"/>
            <w:vAlign w:val="bottom"/>
            <w:tcBorders>
              <w:top w:val="single" w:sz="8" w:color="0000EE"/>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279">
              <w:r>
                <w:rPr>
                  <w:rFonts w:ascii="Times New Roman" w:cs="Times New Roman" w:eastAsia="Times New Roman" w:hAnsi="Times New Roman"/>
                  <w:sz w:val="17"/>
                  <w:szCs w:val="17"/>
                  <w:color w:val="0000EE"/>
                </w:rPr>
                <w:t>December 31, 2022 (File No. 001-38699), filed with the SEC on March 31, 2023)</w:t>
              </w:r>
            </w:hyperlink>
          </w:p>
        </w:tc>
        <w:tc>
          <w:tcPr>
            <w:tcW w:w="3580" w:type="dxa"/>
            <w:vAlign w:val="bottom"/>
            <w:tcBorders>
              <w:top w:val="single" w:sz="8" w:color="0000EE"/>
            </w:tcBorders>
            <w:gridSpan w:val="10"/>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29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8.1*</w:t>
            </w:r>
          </w:p>
        </w:tc>
        <w:tc>
          <w:tcPr>
            <w:tcW w:w="2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List of Significant Subsidiaries</w:t>
            </w:r>
          </w:p>
        </w:tc>
        <w:tc>
          <w:tcPr>
            <w:tcW w:w="7300" w:type="dxa"/>
            <w:vAlign w:val="bottom"/>
            <w:gridSpan w:val="18"/>
          </w:tcPr>
          <w:p>
            <w:pPr>
              <w:spacing w:after="0"/>
              <w:rPr>
                <w:sz w:val="24"/>
                <w:szCs w:val="24"/>
                <w:color w:val="auto"/>
              </w:rPr>
            </w:pPr>
          </w:p>
        </w:tc>
      </w:tr>
    </w:tbl>
    <w:p>
      <w:pPr>
        <w:spacing w:after="0" w:line="112" w:lineRule="exact"/>
        <w:rPr>
          <w:sz w:val="20"/>
          <w:szCs w:val="20"/>
          <w:color w:val="auto"/>
        </w:rPr>
      </w:pPr>
    </w:p>
    <w:p>
      <w:pPr>
        <w:ind w:left="460" w:hanging="168"/>
        <w:spacing w:after="0"/>
        <w:tabs>
          <w:tab w:leader="none" w:pos="4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11.1*</w:t>
      </w:r>
      <w:r>
        <w:rPr>
          <w:rFonts w:ascii="Times New Roman" w:cs="Times New Roman" w:eastAsia="Times New Roman" w:hAnsi="Times New Roman"/>
          <w:sz w:val="17"/>
          <w:szCs w:val="17"/>
          <w:u w:val="single" w:color="auto"/>
          <w:color w:val="0000EE"/>
        </w:rPr>
        <w:t>Policy for the Prevention of Insider Trading</w:t>
      </w:r>
    </w:p>
    <w:p>
      <w:pPr>
        <w:spacing w:after="0" w:line="118" w:lineRule="exact"/>
        <w:rPr>
          <w:rFonts w:ascii="Times New Roman" w:cs="Times New Roman" w:eastAsia="Times New Roman" w:hAnsi="Times New Roman"/>
          <w:sz w:val="16"/>
          <w:szCs w:val="16"/>
          <w:color w:val="auto"/>
        </w:rPr>
      </w:pPr>
    </w:p>
    <w:p>
      <w:pPr>
        <w:ind w:left="460" w:hanging="168"/>
        <w:spacing w:after="0"/>
        <w:tabs>
          <w:tab w:leader="none" w:pos="4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12.1*</w:t>
      </w:r>
      <w:r>
        <w:rPr>
          <w:rFonts w:ascii="Times New Roman" w:cs="Times New Roman" w:eastAsia="Times New Roman" w:hAnsi="Times New Roman"/>
          <w:sz w:val="17"/>
          <w:szCs w:val="17"/>
          <w:u w:val="single" w:color="auto"/>
          <w:color w:val="0000EE"/>
        </w:rPr>
        <w:t>CEO Certification Pursuant to Section 302 of the Sarbanes-Oxley Act of 2002</w:t>
      </w:r>
    </w:p>
    <w:p>
      <w:pPr>
        <w:spacing w:after="0" w:line="118" w:lineRule="exact"/>
        <w:rPr>
          <w:rFonts w:ascii="Times New Roman" w:cs="Times New Roman" w:eastAsia="Times New Roman" w:hAnsi="Times New Roman"/>
          <w:sz w:val="16"/>
          <w:szCs w:val="16"/>
          <w:color w:val="auto"/>
        </w:rPr>
      </w:pPr>
    </w:p>
    <w:p>
      <w:pPr>
        <w:ind w:left="460" w:hanging="168"/>
        <w:spacing w:after="0"/>
        <w:tabs>
          <w:tab w:leader="none" w:pos="4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12.2*</w:t>
      </w:r>
      <w:r>
        <w:rPr>
          <w:rFonts w:ascii="Times New Roman" w:cs="Times New Roman" w:eastAsia="Times New Roman" w:hAnsi="Times New Roman"/>
          <w:sz w:val="17"/>
          <w:szCs w:val="17"/>
          <w:u w:val="single" w:color="auto"/>
          <w:color w:val="0000EE"/>
        </w:rPr>
        <w:t>CFO Certification Pursuant to Section 302 of the Sarbanes-Oxley Act of 2002</w:t>
      </w:r>
    </w:p>
    <w:p>
      <w:pPr>
        <w:spacing w:after="0" w:line="118" w:lineRule="exact"/>
        <w:rPr>
          <w:rFonts w:ascii="Times New Roman" w:cs="Times New Roman" w:eastAsia="Times New Roman" w:hAnsi="Times New Roman"/>
          <w:sz w:val="16"/>
          <w:szCs w:val="16"/>
          <w:color w:val="auto"/>
        </w:rPr>
      </w:pPr>
    </w:p>
    <w:p>
      <w:pPr>
        <w:ind w:left="1460" w:right="4040" w:hanging="1168"/>
        <w:spacing w:after="0" w:line="472" w:lineRule="auto"/>
        <w:tabs>
          <w:tab w:leader="none" w:pos="-356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13.1*</w:t>
      </w:r>
      <w:r>
        <w:rPr>
          <w:rFonts w:ascii="Times New Roman" w:cs="Times New Roman" w:eastAsia="Times New Roman" w:hAnsi="Times New Roman"/>
          <w:sz w:val="17"/>
          <w:szCs w:val="17"/>
          <w:u w:val="single" w:color="auto"/>
          <w:color w:val="0000EE"/>
        </w:rPr>
        <w:t xml:space="preserve">CEO Certification Pursuant to Section 906 of the Sarbanes-Oxley Act of 2002 </w:t>
      </w:r>
      <w:r>
        <w:rPr>
          <w:rFonts w:ascii="Times New Roman" w:cs="Times New Roman" w:eastAsia="Times New Roman" w:hAnsi="Times New Roman"/>
          <w:sz w:val="17"/>
          <w:szCs w:val="17"/>
          <w:color w:val="000000"/>
        </w:rPr>
        <w:t>206</w:t>
      </w:r>
    </w:p>
    <w:p>
      <w:pPr>
        <w:sectPr>
          <w:pgSz w:w="11900" w:h="16838" w:orient="portrait"/>
          <w:cols w:equalWidth="0" w:num="1">
            <w:col w:w="10960"/>
          </w:cols>
          <w:pgMar w:left="320" w:top="472" w:right="61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820"/>
          </w:cols>
          <w:pgMar w:left="320" w:top="472" w:right="759" w:bottom="1440" w:gutter="0" w:footer="0" w:header="0"/>
        </w:sectPr>
      </w:pP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ectPr>
          <w:pgSz w:w="11900" w:h="16838" w:orient="portrait"/>
          <w:cols w:equalWidth="0" w:num="2">
            <w:col w:w="980" w:space="480"/>
            <w:col w:w="9360"/>
          </w:cols>
          <w:pgMar w:left="320" w:top="472" w:right="759" w:bottom="1440" w:gutter="0" w:footer="0" w:header="0"/>
          <w:type w:val="continuous"/>
        </w:sectPr>
      </w:pPr>
    </w:p>
    <w:p>
      <w:pPr>
        <w:ind w:left="460" w:hanging="168"/>
        <w:spacing w:after="0"/>
        <w:tabs>
          <w:tab w:leader="none" w:pos="4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13.2*</w:t>
      </w:r>
      <w:r>
        <w:rPr>
          <w:rFonts w:ascii="Times New Roman" w:cs="Times New Roman" w:eastAsia="Times New Roman" w:hAnsi="Times New Roman"/>
          <w:sz w:val="17"/>
          <w:szCs w:val="17"/>
          <w:u w:val="single" w:color="auto"/>
          <w:color w:val="0000EE"/>
        </w:rPr>
        <w:t>CFO Certification Pursuant to Section 906 of the Sarbanes-Oxley Act of 2002</w:t>
      </w:r>
    </w:p>
    <w:p>
      <w:pPr>
        <w:spacing w:after="0" w:line="118" w:lineRule="exact"/>
        <w:rPr>
          <w:rFonts w:ascii="Times New Roman" w:cs="Times New Roman" w:eastAsia="Times New Roman" w:hAnsi="Times New Roman"/>
          <w:sz w:val="16"/>
          <w:szCs w:val="16"/>
          <w:color w:val="auto"/>
        </w:rPr>
      </w:pPr>
    </w:p>
    <w:p>
      <w:pPr>
        <w:ind w:left="460" w:hanging="168"/>
        <w:spacing w:after="0"/>
        <w:tabs>
          <w:tab w:leader="none" w:pos="4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15.1*</w:t>
      </w:r>
      <w:r>
        <w:rPr>
          <w:rFonts w:ascii="Times New Roman" w:cs="Times New Roman" w:eastAsia="Times New Roman" w:hAnsi="Times New Roman"/>
          <w:sz w:val="17"/>
          <w:szCs w:val="17"/>
          <w:u w:val="single" w:color="auto"/>
          <w:color w:val="0000EE"/>
        </w:rPr>
        <w:t>Consent of Walkers (Singapore) Limited Liability Partnership</w:t>
      </w:r>
    </w:p>
    <w:p>
      <w:pPr>
        <w:spacing w:after="0" w:line="118" w:lineRule="exact"/>
        <w:rPr>
          <w:rFonts w:ascii="Times New Roman" w:cs="Times New Roman" w:eastAsia="Times New Roman" w:hAnsi="Times New Roman"/>
          <w:sz w:val="16"/>
          <w:szCs w:val="16"/>
          <w:color w:val="auto"/>
        </w:rPr>
      </w:pPr>
    </w:p>
    <w:p>
      <w:pPr>
        <w:ind w:left="460" w:hanging="168"/>
        <w:spacing w:after="0"/>
        <w:tabs>
          <w:tab w:leader="none" w:pos="4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15.2*</w:t>
      </w:r>
      <w:r>
        <w:rPr>
          <w:rFonts w:ascii="Times New Roman" w:cs="Times New Roman" w:eastAsia="Times New Roman" w:hAnsi="Times New Roman"/>
          <w:sz w:val="17"/>
          <w:szCs w:val="17"/>
          <w:u w:val="single" w:color="auto"/>
          <w:color w:val="0000EE"/>
        </w:rPr>
        <w:t>Consent of Deloitte &amp; Touche LLP</w:t>
      </w:r>
    </w:p>
    <w:p>
      <w:pPr>
        <w:spacing w:after="0" w:line="118" w:lineRule="exact"/>
        <w:rPr>
          <w:rFonts w:ascii="Times New Roman" w:cs="Times New Roman" w:eastAsia="Times New Roman" w:hAnsi="Times New Roman"/>
          <w:sz w:val="16"/>
          <w:szCs w:val="16"/>
          <w:color w:val="auto"/>
        </w:rPr>
      </w:pPr>
    </w:p>
    <w:p>
      <w:pPr>
        <w:ind w:left="460" w:hanging="168"/>
        <w:spacing w:after="0"/>
        <w:tabs>
          <w:tab w:leader="none" w:pos="4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15.3*</w:t>
      </w:r>
      <w:r>
        <w:rPr>
          <w:rFonts w:ascii="Times New Roman" w:cs="Times New Roman" w:eastAsia="Times New Roman" w:hAnsi="Times New Roman"/>
          <w:sz w:val="17"/>
          <w:szCs w:val="17"/>
          <w:u w:val="single" w:color="auto"/>
          <w:color w:val="0000EE"/>
        </w:rPr>
        <w:t>Consent of Ernst &amp; Young LLP, Singapore</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     97.1</w:t>
            </w:r>
          </w:p>
        </w:tc>
        <w:tc>
          <w:tcPr>
            <w:tcW w:w="91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r:id="rId281">
              <w:r>
                <w:rPr>
                  <w:rFonts w:ascii="Times New Roman" w:cs="Times New Roman" w:eastAsia="Times New Roman" w:hAnsi="Times New Roman"/>
                  <w:sz w:val="17"/>
                  <w:szCs w:val="17"/>
                  <w:color w:val="0000EE"/>
                </w:rPr>
                <w:t>Compensation Recovery Policy (incorporated by reference to Exhibit 97.1 from our annual report on Form 20-F for the fiscal year</w:t>
              </w:r>
            </w:hyperlink>
          </w:p>
        </w:tc>
      </w:tr>
      <w:tr>
        <w:trPr>
          <w:trHeight w:val="189"/>
        </w:trPr>
        <w:tc>
          <w:tcPr>
            <w:tcW w:w="1160" w:type="dxa"/>
            <w:vAlign w:val="bottom"/>
          </w:tcPr>
          <w:p>
            <w:pPr>
              <w:spacing w:after="0"/>
              <w:rPr>
                <w:sz w:val="16"/>
                <w:szCs w:val="16"/>
                <w:color w:val="auto"/>
              </w:rPr>
            </w:pPr>
          </w:p>
        </w:tc>
        <w:tc>
          <w:tcPr>
            <w:tcW w:w="9100" w:type="dxa"/>
            <w:vAlign w:val="bottom"/>
            <w:gridSpan w:val="2"/>
          </w:tcPr>
          <w:p>
            <w:pPr>
              <w:spacing w:after="0" w:line="189" w:lineRule="exact"/>
              <w:rPr>
                <w:rFonts w:ascii="Times New Roman" w:cs="Times New Roman" w:eastAsia="Times New Roman" w:hAnsi="Times New Roman"/>
                <w:sz w:val="17"/>
                <w:szCs w:val="17"/>
                <w:color w:val="0000EE"/>
              </w:rPr>
            </w:pPr>
            <w:hyperlink r:id="rId281">
              <w:r>
                <w:rPr>
                  <w:rFonts w:ascii="Times New Roman" w:cs="Times New Roman" w:eastAsia="Times New Roman" w:hAnsi="Times New Roman"/>
                  <w:sz w:val="17"/>
                  <w:szCs w:val="17"/>
                  <w:color w:val="0000EE"/>
                </w:rPr>
                <w:t>ended December 31, 2023 (File No.001-33178), filed with the SEC on March 22, 2024)</w:t>
              </w:r>
            </w:hyperlink>
          </w:p>
        </w:tc>
      </w:tr>
      <w:tr>
        <w:trPr>
          <w:trHeight w:val="333"/>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61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2980" w:type="dxa"/>
            <w:vAlign w:val="bottom"/>
          </w:tcPr>
          <w:p>
            <w:pPr>
              <w:spacing w:after="0"/>
              <w:rPr>
                <w:sz w:val="24"/>
                <w:szCs w:val="24"/>
                <w:color w:val="auto"/>
              </w:rPr>
            </w:pPr>
          </w:p>
        </w:tc>
      </w:tr>
      <w:tr>
        <w:trPr>
          <w:trHeight w:val="314"/>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bl>
    <w:p>
      <w:pPr>
        <w:spacing w:after="0" w:line="86" w:lineRule="exact"/>
        <w:rPr>
          <w:sz w:val="20"/>
          <w:szCs w:val="20"/>
          <w:color w:val="auto"/>
        </w:rPr>
      </w:pPr>
    </w:p>
    <w:p>
      <w:pPr>
        <w:ind w:left="300" w:right="3760" w:hanging="8"/>
        <w:spacing w:after="0" w:line="401" w:lineRule="auto"/>
        <w:tabs>
          <w:tab w:leader="none" w:pos="147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Filed with this annual report on Form 20-F</w:t>
      </w:r>
    </w:p>
    <w:p>
      <w:pPr>
        <w:ind w:left="720" w:hanging="428"/>
        <w:spacing w:after="0" w:line="295" w:lineRule="auto"/>
        <w:tabs>
          <w:tab w:leader="none" w:pos="7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Item 601(b)(10)(iv) of Regulation S-K. The omitted information is (i) not material and (ii) would likely cause competitive harm to the Company if publicly disclosed.</w:t>
      </w:r>
    </w:p>
    <w:p>
      <w:pPr>
        <w:spacing w:after="0" w:line="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207</w:t>
      </w:r>
    </w:p>
    <w:p>
      <w:pPr>
        <w:sectPr>
          <w:pgSz w:w="11900" w:h="16838" w:orient="portrait"/>
          <w:cols w:equalWidth="0" w:num="1">
            <w:col w:w="10820"/>
          </w:cols>
          <w:pgMar w:left="320" w:top="472" w:right="75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5" w:lineRule="exact"/>
        <w:rPr>
          <w:sz w:val="20"/>
          <w:szCs w:val="20"/>
          <w:color w:val="auto"/>
        </w:rPr>
      </w:pPr>
    </w:p>
    <w:p>
      <w:pPr>
        <w:ind w:left="300"/>
        <w:spacing w:after="0"/>
        <w:tabs>
          <w:tab w:leader="none" w:pos="5460" w:val="left"/>
          <w:tab w:leader="none" w:pos="6040" w:val="left"/>
        </w:tabs>
        <w:rPr>
          <w:sz w:val="20"/>
          <w:szCs w:val="20"/>
          <w:color w:val="auto"/>
        </w:rPr>
      </w:pPr>
      <w:r>
        <w:rPr>
          <w:rFonts w:ascii="Times New Roman" w:cs="Times New Roman" w:eastAsia="Times New Roman" w:hAnsi="Times New Roman"/>
          <w:sz w:val="17"/>
          <w:szCs w:val="17"/>
          <w:color w:val="auto"/>
        </w:rPr>
        <w:t>Date: March 13,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20320</wp:posOffset>
            </wp:positionV>
            <wp:extent cx="31121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Name: Lawrence Yau Lung Ho</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pacing w:after="0" w:line="1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208</w:t>
      </w:r>
    </w:p>
    <w:p>
      <w:pPr>
        <w:sectPr>
          <w:pgSz w:w="11900" w:h="16838" w:orient="portrait"/>
          <w:cols w:equalWidth="0" w:num="1">
            <w:col w:w="10760"/>
          </w:cols>
          <w:pgMar w:left="320" w:top="472" w:right="81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95"/>
        </w:trPr>
        <w:tc>
          <w:tcPr>
            <w:tcW w:w="1052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7080" w:type="dxa"/>
            <w:vAlign w:val="bottom"/>
            <w:gridSpan w:val="9"/>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0" w:type="dxa"/>
            <w:vAlign w:val="bottom"/>
            <w:gridSpan w:val="10"/>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0" w:type="dxa"/>
            <w:vAlign w:val="bottom"/>
            <w:gridSpan w:val="10"/>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2024 AND 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62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EE"/>
              </w:rPr>
              <w:t>Reports of Independent Registered Public Accounting Firm (PCAOB ID: 1046 and 1247)</w:t>
            </w:r>
          </w:p>
        </w:tc>
        <w:tc>
          <w:tcPr>
            <w:tcW w:w="3980" w:type="dxa"/>
            <w:vAlign w:val="bottom"/>
            <w:gridSpan w:val="7"/>
            <w:vMerge w:val="restart"/>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240" w:type="dxa"/>
            <w:vAlign w:val="bottom"/>
            <w:tcBorders>
              <w:bottom w:val="single" w:sz="8" w:color="0000EE"/>
            </w:tcBorders>
            <w:gridSpan w:val="5"/>
            <w:vMerge w:val="continue"/>
          </w:tcPr>
          <w:p>
            <w:pPr>
              <w:spacing w:after="0"/>
              <w:rPr>
                <w:sz w:val="13"/>
                <w:szCs w:val="13"/>
                <w:color w:val="auto"/>
              </w:rPr>
            </w:pPr>
          </w:p>
        </w:tc>
        <w:tc>
          <w:tcPr>
            <w:tcW w:w="3980" w:type="dxa"/>
            <w:vAlign w:val="bottom"/>
            <w:gridSpan w:val="7"/>
            <w:vMerge w:val="continue"/>
          </w:tcPr>
          <w:p>
            <w:pPr>
              <w:spacing w:after="0"/>
              <w:rPr>
                <w:sz w:val="13"/>
                <w:szCs w:val="13"/>
                <w:color w:val="auto"/>
              </w:rPr>
            </w:pPr>
          </w:p>
        </w:tc>
        <w:tc>
          <w:tcPr>
            <w:tcW w:w="3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5"/>
                <w:szCs w:val="15"/>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4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2025 and 2024</w:t>
            </w:r>
          </w:p>
        </w:tc>
        <w:tc>
          <w:tcPr>
            <w:tcW w:w="5720" w:type="dxa"/>
            <w:vAlign w:val="bottom"/>
            <w:gridSpan w:val="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6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2025, 2024 and 2023</w:t>
            </w:r>
          </w:p>
        </w:tc>
        <w:tc>
          <w:tcPr>
            <w:tcW w:w="354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8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Consolidated Statements of Comprehensive Income (Loss) for the Years Ended December 31, 2025, 2024 and 2023</w:t>
            </w:r>
          </w:p>
        </w:tc>
        <w:tc>
          <w:tcPr>
            <w:tcW w:w="216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F-11</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6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Consolidated Statements of Deficit for the Years Ended December 31, 2025, 2024 and 2023</w:t>
            </w:r>
          </w:p>
        </w:tc>
        <w:tc>
          <w:tcPr>
            <w:tcW w:w="382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F-12</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2025, 2024 and 2023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0" w:type="dxa"/>
            <w:vAlign w:val="bottom"/>
          </w:tcPr>
          <w:p>
            <w:pPr>
              <w:spacing w:after="0"/>
              <w:rPr>
                <w:sz w:val="24"/>
                <w:szCs w:val="24"/>
                <w:color w:val="auto"/>
              </w:rPr>
            </w:pPr>
          </w:p>
        </w:tc>
        <w:tc>
          <w:tcPr>
            <w:tcW w:w="7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 for the Years Ended December 31, 2025, 2024 and 2023</w:t>
            </w:r>
          </w:p>
        </w:tc>
        <w:tc>
          <w:tcPr>
            <w:tcW w:w="322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F-15</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Schedule 1 – Melco Resorts &amp; Entertainment Limited Condensed Financial Statements as of December 31, 2025 and 2024 and for the Years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0220" w:type="dxa"/>
            <w:vAlign w:val="bottom"/>
            <w:gridSpan w:val="12"/>
          </w:tcPr>
          <w:p>
            <w:pPr>
              <w:ind w:left="160"/>
              <w:spacing w:after="0" w:line="189" w:lineRule="exact"/>
              <w:rPr>
                <w:sz w:val="20"/>
                <w:szCs w:val="20"/>
                <w:color w:val="auto"/>
              </w:rPr>
            </w:pPr>
            <w:r>
              <w:rPr>
                <w:rFonts w:ascii="Times New Roman" w:cs="Times New Roman" w:eastAsia="Times New Roman" w:hAnsi="Times New Roman"/>
                <w:sz w:val="17"/>
                <w:szCs w:val="17"/>
                <w:color w:val="0000EE"/>
              </w:rPr>
              <w:t>Ended December 31, 2025, 2024 and 2023</w:t>
            </w:r>
          </w:p>
        </w:tc>
        <w:tc>
          <w:tcPr>
            <w:tcW w:w="4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F-79</w:t>
            </w: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1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5720" w:type="dxa"/>
            <w:vAlign w:val="bottom"/>
            <w:gridSpan w:val="8"/>
          </w:tcPr>
          <w:p>
            <w:pPr>
              <w:jc w:val="center"/>
              <w:ind w:right="4080"/>
              <w:spacing w:after="0"/>
              <w:rPr>
                <w:sz w:val="20"/>
                <w:szCs w:val="20"/>
                <w:color w:val="auto"/>
              </w:rPr>
            </w:pPr>
            <w:r>
              <w:rPr>
                <w:rFonts w:ascii="Times New Roman" w:cs="Times New Roman" w:eastAsia="Times New Roman" w:hAnsi="Times New Roman"/>
                <w:sz w:val="17"/>
                <w:szCs w:val="17"/>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320" w:top="467" w:right="6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Melco Resorts &amp; Entertainment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Melco Resorts &amp; Entertainment Limited and subsidiaries (the “Company”) as of December 31, 2025 and 2024, the related consolidated statements of operations, comprehensive income, deficit and cash flows, for each of the two years in the period ended December 31, 2025 and the related notes and the financial statement schedule included in Schedule 1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3" w:lineRule="exact"/>
        <w:rPr>
          <w:sz w:val="20"/>
          <w:szCs w:val="20"/>
          <w:color w:val="auto"/>
        </w:rPr>
      </w:pPr>
    </w:p>
    <w:p>
      <w:pPr>
        <w:ind w:left="300" w:right="120"/>
        <w:spacing w:after="0" w:line="267"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p>
    <w:p>
      <w:pPr>
        <w:spacing w:after="0" w:line="1" w:lineRule="exact"/>
        <w:rPr>
          <w:sz w:val="20"/>
          <w:szCs w:val="20"/>
          <w:color w:val="auto"/>
        </w:rPr>
      </w:pPr>
    </w:p>
    <w:p>
      <w:pPr>
        <w:ind w:left="300" w:right="6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(2013) </w:t>
      </w:r>
      <w:r>
        <w:rPr>
          <w:rFonts w:ascii="Times New Roman" w:cs="Times New Roman" w:eastAsia="Times New Roman" w:hAnsi="Times New Roman"/>
          <w:sz w:val="17"/>
          <w:szCs w:val="17"/>
          <w:color w:val="auto"/>
        </w:rPr>
        <w:t>issued by the Committee of Sponsoring Organizations of the Treadway Commission and our report dated March 13, 2026, expressed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unqualified opinion on the Company’s internal control over financial reporting.</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00" w:right="60"/>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20" w:lineRule="exact"/>
        <w:rPr>
          <w:sz w:val="20"/>
          <w:szCs w:val="20"/>
          <w:color w:val="auto"/>
        </w:rPr>
      </w:pPr>
    </w:p>
    <w:p>
      <w:pPr>
        <w:ind w:left="300" w:right="320"/>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300" w:right="60" w:hanging="8"/>
        <w:spacing w:after="0" w:line="265" w:lineRule="auto"/>
        <w:tabs>
          <w:tab w:leader="none" w:pos="547"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0940"/>
          </w:cols>
          <w:pgMar w:left="320" w:top="472" w:right="6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300" w:right="4220"/>
        <w:spacing w:after="0" w:line="386" w:lineRule="auto"/>
        <w:rPr>
          <w:sz w:val="20"/>
          <w:szCs w:val="20"/>
          <w:color w:val="auto"/>
        </w:rPr>
      </w:pPr>
      <w:r>
        <w:rPr>
          <w:rFonts w:ascii="Times New Roman" w:cs="Times New Roman" w:eastAsia="Times New Roman" w:hAnsi="Times New Roman"/>
          <w:sz w:val="17"/>
          <w:szCs w:val="17"/>
          <w:b w:val="1"/>
          <w:bCs w:val="1"/>
          <w:color w:val="auto"/>
        </w:rPr>
        <w:t xml:space="preserve">Goodwill impairment assessment - Refer to Note 2(k) and 6 to the financial statements </w:t>
      </w:r>
      <w:r>
        <w:rPr>
          <w:rFonts w:ascii="Times New Roman" w:cs="Times New Roman" w:eastAsia="Times New Roman" w:hAnsi="Times New Roman"/>
          <w:sz w:val="17"/>
          <w:szCs w:val="17"/>
          <w:i w:val="1"/>
          <w:iCs w:val="1"/>
          <w:color w:val="auto"/>
        </w:rPr>
        <w:t>Critical Audit Matter Description</w:t>
      </w:r>
    </w:p>
    <w:p>
      <w:pPr>
        <w:ind w:left="300" w:right="40"/>
        <w:spacing w:after="0" w:line="264" w:lineRule="auto"/>
        <w:rPr>
          <w:sz w:val="20"/>
          <w:szCs w:val="20"/>
          <w:color w:val="auto"/>
        </w:rPr>
      </w:pPr>
      <w:r>
        <w:rPr>
          <w:rFonts w:ascii="Times New Roman" w:cs="Times New Roman" w:eastAsia="Times New Roman" w:hAnsi="Times New Roman"/>
          <w:sz w:val="17"/>
          <w:szCs w:val="17"/>
          <w:color w:val="auto"/>
        </w:rPr>
        <w:t>The goodwill balance was US$23.5 million as of December 31, 2025, all of which was allocated to the Mocha and Other (“Mocha”) reporting unit. The Company recognized a goodwill impairment charge of US$57.9 million related to this reporting unit during the year, as a result of the cessation of operations of three Mocha clubs. The Company’s evaluation of goodwill for impairment involves comparing the fair value of the reporting unit’s remaining operations to its carrying value. The Company used the discounted cash flow model to estimate fair value, which requires management to make significant estimates and assumptions related to discount rates and forecasted cash flows. Changes in these assumptions could have a significant impact on the fair value determination and the amount of the impairment charge recognized.</w:t>
      </w:r>
    </w:p>
    <w:p>
      <w:pPr>
        <w:spacing w:after="0" w:line="173" w:lineRule="exact"/>
        <w:rPr>
          <w:sz w:val="20"/>
          <w:szCs w:val="20"/>
          <w:color w:val="auto"/>
        </w:rPr>
      </w:pPr>
    </w:p>
    <w:p>
      <w:pPr>
        <w:jc w:val="both"/>
        <w:ind w:left="300" w:right="100"/>
        <w:spacing w:after="0" w:line="276" w:lineRule="auto"/>
        <w:rPr>
          <w:sz w:val="20"/>
          <w:szCs w:val="20"/>
          <w:color w:val="auto"/>
        </w:rPr>
      </w:pPr>
      <w:r>
        <w:rPr>
          <w:rFonts w:ascii="Times New Roman" w:cs="Times New Roman" w:eastAsia="Times New Roman" w:hAnsi="Times New Roman"/>
          <w:sz w:val="17"/>
          <w:szCs w:val="17"/>
          <w:color w:val="auto"/>
        </w:rPr>
        <w:t>Given the significant judgments made by management to estimate the fair value of Mocha, performing audit procedures to evaluate the reasonableness of management’s estimates and assumptions related to the discount rates and forecasts of future cash flows of Mocha required a high degree of auditor judgment and an increased extent of effort.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20" w:lineRule="exact"/>
        <w:rPr>
          <w:sz w:val="20"/>
          <w:szCs w:val="20"/>
          <w:color w:val="auto"/>
        </w:rPr>
      </w:pPr>
    </w:p>
    <w:p>
      <w:pPr>
        <w:ind w:left="300" w:right="160"/>
        <w:spacing w:after="0" w:line="295" w:lineRule="auto"/>
        <w:rPr>
          <w:sz w:val="20"/>
          <w:szCs w:val="20"/>
          <w:color w:val="auto"/>
        </w:rPr>
      </w:pPr>
      <w:r>
        <w:rPr>
          <w:rFonts w:ascii="Times New Roman" w:cs="Times New Roman" w:eastAsia="Times New Roman" w:hAnsi="Times New Roman"/>
          <w:sz w:val="17"/>
          <w:szCs w:val="17"/>
          <w:color w:val="auto"/>
        </w:rPr>
        <w:t>Our audit procedures related to the discount rates and forecasts of future cash flows used by management to estimate the fair value of Mocha included the following, among others:</w:t>
      </w:r>
    </w:p>
    <w:p>
      <w:pPr>
        <w:spacing w:after="0" w:line="55" w:lineRule="exact"/>
        <w:rPr>
          <w:sz w:val="20"/>
          <w:szCs w:val="20"/>
          <w:color w:val="auto"/>
        </w:rPr>
      </w:pPr>
    </w:p>
    <w:p>
      <w:pPr>
        <w:jc w:val="both"/>
        <w:ind w:left="1240" w:hanging="425"/>
        <w:spacing w:after="0" w:line="276" w:lineRule="auto"/>
        <w:tabs>
          <w:tab w:leader="none" w:pos="12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operating effectiveness of controls over management’s goodwill impairment evaluation, including those over the determination of the fair value of Mocha, including controls related to management’s determination and review over the discount rates and forecasts of future cash flows;</w:t>
      </w:r>
    </w:p>
    <w:p>
      <w:pPr>
        <w:spacing w:after="0" w:line="70" w:lineRule="exact"/>
        <w:rPr>
          <w:rFonts w:ascii="Times New Roman" w:cs="Times New Roman" w:eastAsia="Times New Roman" w:hAnsi="Times New Roman"/>
          <w:sz w:val="17"/>
          <w:szCs w:val="17"/>
          <w:color w:val="auto"/>
        </w:rPr>
      </w:pPr>
    </w:p>
    <w:p>
      <w:pPr>
        <w:ind w:left="1240" w:right="260" w:hanging="425"/>
        <w:spacing w:after="0" w:line="295" w:lineRule="auto"/>
        <w:tabs>
          <w:tab w:leader="none" w:pos="12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ability to accurately forecast future revenue and operating margin by performing retrospective analyses of management’s historical forecasts by comparing to the actual results;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significant assumptions and estimates included in the forecast by:</w:t>
      </w:r>
    </w:p>
    <w:p>
      <w:pPr>
        <w:spacing w:after="0" w:line="131" w:lineRule="exact"/>
        <w:rPr>
          <w:rFonts w:ascii="Times New Roman" w:cs="Times New Roman" w:eastAsia="Times New Roman" w:hAnsi="Times New Roman"/>
          <w:sz w:val="17"/>
          <w:szCs w:val="17"/>
          <w:color w:val="auto"/>
        </w:rPr>
      </w:pPr>
    </w:p>
    <w:p>
      <w:pPr>
        <w:ind w:left="1660" w:right="60" w:hanging="309"/>
        <w:spacing w:after="0" w:line="295" w:lineRule="auto"/>
        <w:tabs>
          <w:tab w:leader="none" w:pos="166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Involving our specialists to evaluate the reasonableness of the discount rates, including testing the market-based source information underlying the determination of the discount rates and testing the mathematical accuracy of the calculation; and</w:t>
      </w:r>
    </w:p>
    <w:p>
      <w:pPr>
        <w:spacing w:after="0" w:line="55" w:lineRule="exact"/>
        <w:rPr>
          <w:rFonts w:ascii="Times New Roman" w:cs="Times New Roman" w:eastAsia="Times New Roman" w:hAnsi="Times New Roman"/>
          <w:sz w:val="17"/>
          <w:szCs w:val="17"/>
          <w:color w:val="auto"/>
        </w:rPr>
      </w:pPr>
    </w:p>
    <w:p>
      <w:pPr>
        <w:ind w:left="1660" w:right="80" w:hanging="309"/>
        <w:spacing w:after="0" w:line="269" w:lineRule="auto"/>
        <w:tabs>
          <w:tab w:leader="none" w:pos="166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reasonableness of management’s forecast of revenue, expenses and the long-term growth rate through inquiry with management and by comparing the forecasts to (1) the historical operating results, (2) internal communications to management and the board of directors, (3) external communications made by management to analysts and investors, (4) industry reports containing analyses of the Company and its competitors, and (5) evidence obtained in other areas of the audit; and</w:t>
      </w:r>
    </w:p>
    <w:p>
      <w:pPr>
        <w:spacing w:after="0" w:line="77"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sensitivity analysis based on reasonably possible changes in the significant assumptions.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13, 2026</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have served as the Company’s auditor since 2024.</w:t>
      </w:r>
    </w:p>
    <w:p>
      <w:pPr>
        <w:spacing w:after="0" w:line="1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0900"/>
          </w:cols>
          <w:pgMar w:left="320" w:top="472" w:right="6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Melco Resorts &amp; Entertainment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operations, comprehensive loss, deficit and cash flows of Melco Resorts &amp; Entertainment Limited (the Company) for the year ended December 31, 2023, and the related notes and financial statement schedule included in Schedule 1 (collectively referred to as the “consolidated financial statements”). In our opinion, the consolidated financial statements present fairly, in all material respects, the results of the Company’s operations and its cash flows for the year ended December 31, 2023, in conformity with U.S. generally accepted accounting principles.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00" w:right="60"/>
        <w:spacing w:after="0" w:line="264"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served as the Company’s auditor from 2022 to 2024.</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22, 2024, except for Note 22, as to which the date is March 21, 2025</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0940"/>
          </w:cols>
          <w:pgMar w:left="320" w:top="472" w:right="6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Melco Resorts &amp; Entertainment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20" w:lineRule="exact"/>
        <w:rPr>
          <w:sz w:val="20"/>
          <w:szCs w:val="20"/>
          <w:color w:val="auto"/>
        </w:rPr>
      </w:pPr>
    </w:p>
    <w:p>
      <w:pPr>
        <w:ind w:left="300" w:right="160"/>
        <w:spacing w:after="0" w:line="269"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Melco Resorts &amp; Entertainment Limited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69"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March 13, 2026, expressed an unqualified opinion on those financial statements.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40"/>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w:t>
      </w:r>
    </w:p>
    <w:p>
      <w:pPr>
        <w:spacing w:after="0" w:line="1"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left="300" w:right="180"/>
        <w:spacing w:after="0" w:line="26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20" w:lineRule="exact"/>
        <w:rPr>
          <w:sz w:val="20"/>
          <w:szCs w:val="20"/>
          <w:color w:val="auto"/>
        </w:rPr>
      </w:pPr>
    </w:p>
    <w:p>
      <w:pPr>
        <w:ind w:left="300" w:right="60"/>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900"/>
          </w:cols>
          <w:pgMar w:left="320" w:top="472" w:right="6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6"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13, 2026</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0900"/>
          </w:cols>
          <w:pgMar w:left="320" w:top="472" w:right="67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95"/>
        </w:trPr>
        <w:tc>
          <w:tcPr>
            <w:tcW w:w="8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3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38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80" w:type="dxa"/>
            <w:vAlign w:val="bottom"/>
          </w:tcPr>
          <w:p>
            <w:pPr>
              <w:jc w:val="center"/>
              <w:ind w:left="109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73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1,023,199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allowances for credit losses of $118,938 and $128,010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144,211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Receivables from affiliated companies</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36,919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32,452</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81,790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1,269,200</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5,157,443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270,903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23,490</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82,090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prepayments, deposits and other assets, net of allowances for credit losses of nil and $2,391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125,235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125,511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76,935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89,164</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Land use rights, net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545,054</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7,597,688</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7,985,343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LIABILITIES AND DEFICIT</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25,910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24,794</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1,076,150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Income tax payable</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29,208</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38,009</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18,998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18,590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Finance lease liabilities, current</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33,327</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33,817</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long-term debt,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21,597</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Payables to affiliated companies</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719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1,184,312</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Long-term debt,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6,747,918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7,135,825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34,590</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36,708</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76,108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80,673</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lease liabilities, non-current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148,590</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8,501,317</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8,925,307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Commitments and contingencies (Note 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jc w:val="center"/>
              <w:ind w:left="1133"/>
              <w:spacing w:after="0"/>
              <w:rPr>
                <w:sz w:val="20"/>
                <w:szCs w:val="20"/>
                <w:color w:val="auto"/>
              </w:rPr>
            </w:pPr>
            <w:r>
              <w:rPr>
                <w:rFonts w:ascii="Times New Roman" w:cs="Times New Roman" w:eastAsia="Times New Roman" w:hAnsi="Times New Roman"/>
                <w:sz w:val="17"/>
                <w:szCs w:val="17"/>
                <w:color w:val="auto"/>
              </w:rPr>
              <w:t>F-7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320" w:top="467" w:right="6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218" w:name="page219"/>
    <w:bookmarkEnd w:id="218"/>
    <w:tbl>
      <w:tblPr>
        <w:tblLayout w:type="fixed"/>
        <w:tblInd w:w="0" w:type="dxa"/>
        <w:tblCellMar>
          <w:top w:w="0" w:type="dxa"/>
          <w:left w:w="0" w:type="dxa"/>
          <w:bottom w:w="0" w:type="dxa"/>
          <w:right w:w="0" w:type="dxa"/>
        </w:tblCellMar>
      </w:tblPr>
      <w:tr>
        <w:trPr>
          <w:trHeight w:val="195"/>
        </w:trPr>
        <w:tc>
          <w:tcPr>
            <w:tcW w:w="8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3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38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jc w:val="center"/>
              <w:ind w:left="1133"/>
              <w:spacing w:after="0"/>
              <w:rPr>
                <w:sz w:val="20"/>
                <w:szCs w:val="20"/>
                <w:color w:val="auto"/>
              </w:rPr>
            </w:pPr>
            <w:r>
              <w:rPr>
                <w:rFonts w:ascii="Times New Roman" w:cs="Times New Roman" w:eastAsia="Times New Roman" w:hAnsi="Times New Roman"/>
                <w:sz w:val="17"/>
                <w:szCs w:val="17"/>
                <w:b w:val="1"/>
                <w:bCs w:val="1"/>
                <w:color w:val="auto"/>
              </w:rPr>
              <w:t>CONSOLIDATED BALANCE SHEETS</w:t>
            </w:r>
            <w:r>
              <w:rPr>
                <w:rFonts w:ascii="Times New Roman" w:cs="Times New Roman" w:eastAsia="Times New Roman" w:hAnsi="Times New Roman"/>
                <w:sz w:val="17"/>
                <w:szCs w:val="17"/>
                <w:color w:val="auto"/>
              </w:rPr>
              <w:t xml:space="preserve"> - continued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80" w:type="dxa"/>
            <w:vAlign w:val="bottom"/>
          </w:tcPr>
          <w:p>
            <w:pPr>
              <w:jc w:val="center"/>
              <w:ind w:left="109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73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Deficit: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40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Ordinary shares, par value $0.01; 7,300,000,000 shares authorized;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1,351,540,382 and 1,351,540,382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84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1,172,055,466 and 1,259,138,299 shares outstanding,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13,515</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Treasury shares, at cost; 179,484,916 and 92,402,083 shares, respectively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(356,835)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(216,626)</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2,985,730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(95,750)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Accumulated losses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(3,828,284)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(4,013,329)</w:t>
            </w:r>
          </w:p>
        </w:tc>
        <w:tc>
          <w:tcPr>
            <w:tcW w:w="0" w:type="dxa"/>
            <w:vAlign w:val="bottom"/>
          </w:tcPr>
          <w:p>
            <w:pPr>
              <w:spacing w:after="0"/>
              <w:rPr>
                <w:sz w:val="1"/>
                <w:szCs w:val="1"/>
                <w:color w:val="auto"/>
              </w:rPr>
            </w:pPr>
          </w:p>
        </w:tc>
      </w:tr>
      <w:tr>
        <w:trPr>
          <w:trHeight w:val="26"/>
        </w:trPr>
        <w:tc>
          <w:tcPr>
            <w:tcW w:w="30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Melco Resorts &amp; Entertainment Limited shareholders’ deficit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(1,246,602)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(1,326,460)</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342,973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deficit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(903,629)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(939,964)</w:t>
            </w:r>
          </w:p>
        </w:tc>
        <w:tc>
          <w:tcPr>
            <w:tcW w:w="0" w:type="dxa"/>
            <w:vAlign w:val="bottom"/>
          </w:tcPr>
          <w:p>
            <w:pPr>
              <w:spacing w:after="0"/>
              <w:rPr>
                <w:sz w:val="1"/>
                <w:szCs w:val="1"/>
                <w:color w:val="auto"/>
              </w:rPr>
            </w:pP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liabilities and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7,597,688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7,985,343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0960"/>
          </w:cols>
          <w:pgMar w:left="320" w:top="467" w:right="6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3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color w:val="auto"/>
                <w:w w:val="99"/>
              </w:rPr>
              <w:t>Year Ended December 31,</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3"/>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Casino</w:t>
            </w:r>
          </w:p>
        </w:tc>
        <w:tc>
          <w:tcPr>
            <w:tcW w:w="5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4,247,025</w:t>
            </w:r>
          </w:p>
        </w:tc>
        <w:tc>
          <w:tcPr>
            <w:tcW w:w="40" w:type="dxa"/>
            <w:vAlign w:val="bottom"/>
          </w:tcPr>
          <w:p>
            <w:pPr>
              <w:spacing w:after="0"/>
              <w:rPr>
                <w:sz w:val="18"/>
                <w:szCs w:val="18"/>
                <w:color w:val="auto"/>
              </w:rPr>
            </w:pPr>
          </w:p>
        </w:tc>
        <w:tc>
          <w:tcPr>
            <w:tcW w:w="68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3,772,655</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3,077,312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Rooms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443,985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422,565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338,224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Food and beverage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290,718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285,933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208,885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Entertainment, retail and other</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181,571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157,060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150,826</w:t>
            </w: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5,163,299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4,638,213</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3,775,247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Casino</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(2,736,452)</w:t>
            </w:r>
          </w:p>
        </w:tc>
        <w:tc>
          <w:tcPr>
            <w:tcW w:w="1860" w:type="dxa"/>
            <w:vAlign w:val="bottom"/>
            <w:gridSpan w:val="4"/>
          </w:tcPr>
          <w:p>
            <w:pPr>
              <w:jc w:val="right"/>
              <w:ind w:right="400"/>
              <w:spacing w:after="0"/>
              <w:rPr>
                <w:sz w:val="20"/>
                <w:szCs w:val="20"/>
                <w:color w:val="auto"/>
              </w:rPr>
            </w:pPr>
            <w:r>
              <w:rPr>
                <w:rFonts w:ascii="Times New Roman" w:cs="Times New Roman" w:eastAsia="Times New Roman" w:hAnsi="Times New Roman"/>
                <w:sz w:val="17"/>
                <w:szCs w:val="17"/>
                <w:color w:val="auto"/>
              </w:rPr>
              <w:t>(2,524,565)</w:t>
            </w:r>
          </w:p>
        </w:tc>
        <w:tc>
          <w:tcPr>
            <w:tcW w:w="1140" w:type="dxa"/>
            <w:vAlign w:val="bottom"/>
            <w:gridSpan w:val="4"/>
          </w:tcPr>
          <w:p>
            <w:pPr>
              <w:jc w:val="right"/>
              <w:ind w:right="22"/>
              <w:spacing w:after="0"/>
              <w:rPr>
                <w:sz w:val="20"/>
                <w:szCs w:val="20"/>
                <w:color w:val="auto"/>
              </w:rPr>
            </w:pPr>
            <w:r>
              <w:rPr>
                <w:rFonts w:ascii="Times New Roman" w:cs="Times New Roman" w:eastAsia="Times New Roman" w:hAnsi="Times New Roman"/>
                <w:sz w:val="17"/>
                <w:szCs w:val="17"/>
                <w:color w:val="auto"/>
              </w:rPr>
              <w:t>(2,034,848)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Rooms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(127,884)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(87,637)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Food and beverage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(245,649)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(230,284)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(163,492)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Entertainment, retail and other</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(96,588)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(79,169)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(76,704)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(657,358)</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(568,701)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(488,127)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to the Philippine Parties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(41,939)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(42,451)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Pre-opening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(50,562)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(20,852)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(43,994)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(5,433)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land use rights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(19,970)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(19,956)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(22,670)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(523,592)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(521,582)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(520,726)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(39,481)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(13,221)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(228,437)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(4,562,873)</w:t>
            </w:r>
          </w:p>
        </w:tc>
        <w:tc>
          <w:tcPr>
            <w:tcW w:w="18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(4,153,586)</w:t>
            </w:r>
          </w:p>
        </w:tc>
        <w:tc>
          <w:tcPr>
            <w:tcW w:w="114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(3,710,288)</w:t>
            </w: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600,426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484,627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Non-operating income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8,482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15,766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23,305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net of amounts capitalized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(464,904)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(486,721)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(492,391)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financing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(7,362)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gains (losses),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8,739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(15,492)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2,232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2,999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3,833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2,748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gain on extinguishment of debt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1,611</w:t>
            </w: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non-operating expenses, net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(452,141)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(490,976)</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148,285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(21,610)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(13,422)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145,456</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39,589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71,502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88,410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Melco Resorts &amp; Entertainment Limited</w:t>
            </w: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185,045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income (loss) attributable to Melco Resorts &amp; Entertainment Limited per share:</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5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0.155</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0.034</w:t>
            </w:r>
          </w:p>
        </w:tc>
        <w:tc>
          <w:tcPr>
            <w:tcW w:w="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(0.249)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0.034</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5180"/>
              <w:spacing w:after="0"/>
              <w:rPr>
                <w:sz w:val="20"/>
                <w:szCs w:val="20"/>
                <w:color w:val="auto"/>
              </w:rPr>
            </w:pPr>
            <w:r>
              <w:rPr>
                <w:rFonts w:ascii="Times New Roman" w:cs="Times New Roman" w:eastAsia="Times New Roman" w:hAnsi="Times New Roman"/>
                <w:sz w:val="17"/>
                <w:szCs w:val="17"/>
                <w:color w:val="auto"/>
              </w:rPr>
              <w:t>F-9</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6280" w:type="dxa"/>
            <w:vAlign w:val="bottom"/>
          </w:tcPr>
          <w:p>
            <w:pPr>
              <w:spacing w:after="0"/>
              <w:rPr>
                <w:sz w:val="19"/>
                <w:szCs w:val="19"/>
                <w:color w:val="auto"/>
              </w:rPr>
            </w:pPr>
          </w:p>
        </w:tc>
        <w:tc>
          <w:tcPr>
            <w:tcW w:w="3180" w:type="dxa"/>
            <w:vAlign w:val="bottom"/>
            <w:tcBorders>
              <w:bottom w:val="single" w:sz="8" w:color="auto"/>
            </w:tcBorders>
            <w:gridSpan w:val="5"/>
          </w:tcPr>
          <w:p>
            <w:pPr>
              <w:jc w:val="center"/>
              <w:ind w:left="1033"/>
              <w:spacing w:after="0"/>
              <w:rPr>
                <w:sz w:val="20"/>
                <w:szCs w:val="20"/>
                <w:color w:val="auto"/>
              </w:rPr>
            </w:pPr>
            <w:r>
              <w:rPr>
                <w:rFonts w:ascii="Times New Roman" w:cs="Times New Roman" w:eastAsia="Times New Roman" w:hAnsi="Times New Roman"/>
                <w:sz w:val="17"/>
                <w:szCs w:val="17"/>
                <w:color w:val="auto"/>
              </w:rPr>
              <w:t>Year Ended December 31,</w:t>
            </w:r>
          </w:p>
        </w:tc>
        <w:tc>
          <w:tcPr>
            <w:tcW w:w="1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2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7"/>
                <w:szCs w:val="17"/>
                <w:color w:val="auto"/>
              </w:rPr>
            </w:pPr>
          </w:p>
        </w:tc>
      </w:tr>
      <w:tr>
        <w:trPr>
          <w:trHeight w:val="171"/>
        </w:trPr>
        <w:tc>
          <w:tcPr>
            <w:tcW w:w="62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Weighted average shares outstanding used in net income (loss) attributable to Melco</w:t>
            </w: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7"/>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Resorts &amp; Entertainment Limited per share calculation:</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9"/>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1,193,982,891</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1,296,361,341</w:t>
            </w: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1,314,605,173</w:t>
            </w:r>
          </w:p>
        </w:tc>
      </w:tr>
      <w:tr>
        <w:trPr>
          <w:trHeight w:val="20"/>
        </w:trPr>
        <w:tc>
          <w:tcPr>
            <w:tcW w:w="6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1,201,885,223</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1,299,430,914</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1,314,605,173</w:t>
            </w:r>
          </w:p>
        </w:tc>
      </w:tr>
      <w:tr>
        <w:trPr>
          <w:trHeight w:val="20"/>
        </w:trPr>
        <w:tc>
          <w:tcPr>
            <w:tcW w:w="6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0960"/>
          </w:cols>
          <w:pgMar w:left="320" w:top="472" w:right="6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color w:val="auto"/>
              </w:rPr>
              <w:t>Year Ended December 31,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8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2024</w:t>
            </w: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145,456</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(415,330)</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xml:space="preserve">            </w:t>
            </w: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28,644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17,072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13,310</w:t>
            </w:r>
          </w:p>
        </w:tc>
      </w:tr>
      <w:tr>
        <w:trPr>
          <w:trHeight w:val="209"/>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interest rate swaps, net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(3,103)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21"/>
        </w:trPr>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28,327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13,969</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173,783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(13,990)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(402,020)</w:t>
            </w:r>
          </w:p>
        </w:tc>
      </w:tr>
      <w:tr>
        <w:trPr>
          <w:trHeight w:val="215"/>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43,300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60,382</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88,470</w:t>
            </w:r>
          </w:p>
        </w:tc>
      </w:tr>
      <w:tr>
        <w:trPr>
          <w:trHeight w:val="191"/>
        </w:trPr>
        <w:tc>
          <w:tcPr>
            <w:tcW w:w="20" w:type="dxa"/>
            <w:vAlign w:val="bottom"/>
          </w:tcPr>
          <w:p>
            <w:pPr>
              <w:spacing w:after="0"/>
              <w:rPr>
                <w:sz w:val="16"/>
                <w:szCs w:val="16"/>
                <w:color w:val="auto"/>
              </w:rPr>
            </w:pPr>
          </w:p>
        </w:tc>
        <w:tc>
          <w:tcPr>
            <w:tcW w:w="58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Comprehensive income (loss) attributable to Melco Resorts &amp; Entertainment</w:t>
            </w:r>
          </w:p>
        </w:tc>
        <w:tc>
          <w:tcPr>
            <w:tcW w:w="4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Limited</w:t>
            </w:r>
          </w:p>
        </w:tc>
        <w:tc>
          <w:tcPr>
            <w:tcW w:w="6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217,083</w:t>
            </w:r>
          </w:p>
        </w:tc>
        <w:tc>
          <w:tcPr>
            <w:tcW w:w="7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46,392</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(313,550)</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960"/>
          </w:cols>
          <w:pgMar w:left="320" w:top="472" w:right="6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CONSOLIDATED STATEMENTS OF DEFICIT</w:t>
      </w:r>
    </w:p>
    <w:p>
      <w:pPr>
        <w:spacing w:after="0" w:line="3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13"/>
          </w:tcPr>
          <w:p>
            <w:pPr>
              <w:jc w:val="right"/>
              <w:ind w:right="500"/>
              <w:spacing w:after="0"/>
              <w:rPr>
                <w:sz w:val="20"/>
                <w:szCs w:val="20"/>
                <w:color w:val="auto"/>
              </w:rPr>
            </w:pPr>
            <w:r>
              <w:rPr>
                <w:rFonts w:ascii="Times New Roman" w:cs="Times New Roman" w:eastAsia="Times New Roman" w:hAnsi="Times New Roman"/>
                <w:sz w:val="14"/>
                <w:szCs w:val="14"/>
                <w:color w:val="auto"/>
              </w:rPr>
              <w:t>Melco Resorts &amp; Entertainment Limited Shareholders’ Deficit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50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Ordinary Shares</w:t>
            </w:r>
          </w:p>
        </w:tc>
        <w:tc>
          <w:tcPr>
            <w:tcW w:w="160" w:type="dxa"/>
            <w:vAlign w:val="bottom"/>
            <w:vMerge w:val="restart"/>
          </w:tcPr>
          <w:p>
            <w:pPr>
              <w:spacing w:after="0"/>
              <w:rPr>
                <w:sz w:val="9"/>
                <w:szCs w:val="9"/>
                <w:color w:val="auto"/>
              </w:rPr>
            </w:pPr>
          </w:p>
        </w:tc>
        <w:tc>
          <w:tcPr>
            <w:tcW w:w="156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Treasury Shares</w:t>
            </w:r>
          </w:p>
        </w:tc>
        <w:tc>
          <w:tcPr>
            <w:tcW w:w="160" w:type="dxa"/>
            <w:vAlign w:val="bottom"/>
            <w:vMerge w:val="restart"/>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9"/>
                <w:szCs w:val="9"/>
                <w:color w:val="auto"/>
              </w:rPr>
            </w:pPr>
          </w:p>
        </w:tc>
        <w:tc>
          <w:tcPr>
            <w:tcW w:w="1040" w:type="dxa"/>
            <w:vAlign w:val="bottom"/>
            <w:gridSpan w:val="3"/>
          </w:tcPr>
          <w:p>
            <w:pPr>
              <w:jc w:val="center"/>
              <w:ind w:right="180"/>
              <w:spacing w:after="0" w:line="114" w:lineRule="exact"/>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color w:val="auto"/>
                <w:w w:val="93"/>
              </w:rPr>
              <w:t>Other</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7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3"/>
                <w:szCs w:val="13"/>
                <w:color w:val="auto"/>
              </w:rPr>
              <w:t>Paid-in</w:t>
            </w:r>
          </w:p>
        </w:tc>
        <w:tc>
          <w:tcPr>
            <w:tcW w:w="80" w:type="dxa"/>
            <w:vAlign w:val="bottom"/>
          </w:tcPr>
          <w:p>
            <w:pPr>
              <w:spacing w:after="0"/>
              <w:rPr>
                <w:sz w:val="9"/>
                <w:szCs w:val="9"/>
                <w:color w:val="auto"/>
              </w:rPr>
            </w:pPr>
          </w:p>
        </w:tc>
        <w:tc>
          <w:tcPr>
            <w:tcW w:w="1040" w:type="dxa"/>
            <w:vAlign w:val="bottom"/>
            <w:gridSpan w:val="3"/>
          </w:tcPr>
          <w:p>
            <w:pPr>
              <w:jc w:val="center"/>
              <w:ind w:right="180"/>
              <w:spacing w:after="0" w:line="114" w:lineRule="exact"/>
              <w:rPr>
                <w:sz w:val="20"/>
                <w:szCs w:val="20"/>
                <w:color w:val="auto"/>
              </w:rPr>
            </w:pPr>
            <w:r>
              <w:rPr>
                <w:rFonts w:ascii="Times New Roman" w:cs="Times New Roman" w:eastAsia="Times New Roman" w:hAnsi="Times New Roman"/>
                <w:sz w:val="13"/>
                <w:szCs w:val="13"/>
                <w:color w:val="auto"/>
              </w:rPr>
              <w:t>Comprehensive</w:t>
            </w:r>
          </w:p>
        </w:tc>
        <w:tc>
          <w:tcPr>
            <w:tcW w:w="840" w:type="dxa"/>
            <w:vAlign w:val="bottom"/>
            <w:gridSpan w:val="3"/>
          </w:tcPr>
          <w:p>
            <w:pPr>
              <w:spacing w:after="0" w:line="114" w:lineRule="exact"/>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9"/>
                <w:szCs w:val="9"/>
                <w:color w:val="auto"/>
              </w:rPr>
            </w:pPr>
          </w:p>
        </w:tc>
        <w:tc>
          <w:tcPr>
            <w:tcW w:w="1080" w:type="dxa"/>
            <w:vAlign w:val="bottom"/>
            <w:gridSpan w:val="3"/>
          </w:tcPr>
          <w:p>
            <w:pPr>
              <w:jc w:val="right"/>
              <w:ind w:right="200"/>
              <w:spacing w:after="0" w:line="114" w:lineRule="exact"/>
              <w:rPr>
                <w:sz w:val="20"/>
                <w:szCs w:val="20"/>
                <w:color w:val="auto"/>
              </w:rPr>
            </w:pPr>
            <w:r>
              <w:rPr>
                <w:rFonts w:ascii="Times New Roman" w:cs="Times New Roman" w:eastAsia="Times New Roman" w:hAnsi="Times New Roman"/>
                <w:sz w:val="13"/>
                <w:szCs w:val="13"/>
                <w:color w:val="auto"/>
              </w:rPr>
              <w:t>Noncontrolling</w:t>
            </w:r>
          </w:p>
        </w:tc>
        <w:tc>
          <w:tcPr>
            <w:tcW w:w="680" w:type="dxa"/>
            <w:vAlign w:val="bottom"/>
            <w:gridSpan w:val="2"/>
          </w:tcPr>
          <w:p>
            <w:pPr>
              <w:jc w:val="right"/>
              <w:ind w:right="170"/>
              <w:spacing w:after="0" w:line="114" w:lineRule="exact"/>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4"/>
                <w:szCs w:val="14"/>
                <w:color w:val="auto"/>
              </w:rPr>
            </w:pPr>
          </w:p>
        </w:tc>
        <w:tc>
          <w:tcPr>
            <w:tcW w:w="74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Balance as at January 1, 2023</w:t>
            </w:r>
          </w:p>
        </w:tc>
        <w:tc>
          <w:tcPr>
            <w:tcW w:w="8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1,445,052,143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3"/>
              </w:rPr>
              <w:t>$ 14,451</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8"/>
              </w:rPr>
              <w:t>(109,744,816)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8"/>
              </w:rPr>
              <w:t>$ (241,750)</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8"/>
              </w:rPr>
              <w:t>$3,218,895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(111,969)</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4"/>
              </w:rPr>
              <w:t>(3,729,952)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535,963</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 (314,362)</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(326,920)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(88,410)</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(415,330)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13,370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(60)</w:t>
            </w:r>
          </w:p>
        </w:tc>
        <w:tc>
          <w:tcPr>
            <w:tcW w:w="680" w:type="dxa"/>
            <w:vAlign w:val="bottom"/>
            <w:gridSpan w:val="2"/>
            <w:shd w:val="clear" w:color="auto" w:fill="CCEEFF"/>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13,310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48,336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48,340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Shares repurchased by the Company</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(40,373,076)</w:t>
            </w:r>
          </w:p>
        </w:tc>
        <w:tc>
          <w:tcPr>
            <w:tcW w:w="820" w:type="dxa"/>
            <w:vAlign w:val="bottom"/>
            <w:gridSpan w:val="3"/>
            <w:shd w:val="clear" w:color="auto" w:fill="CCEEFF"/>
          </w:tcPr>
          <w:p>
            <w:pPr>
              <w:jc w:val="right"/>
              <w:ind w:right="79"/>
              <w:spacing w:after="0" w:line="144" w:lineRule="exact"/>
              <w:rPr>
                <w:sz w:val="20"/>
                <w:szCs w:val="20"/>
                <w:color w:val="auto"/>
              </w:rPr>
            </w:pPr>
            <w:r>
              <w:rPr>
                <w:rFonts w:ascii="Times New Roman" w:cs="Times New Roman" w:eastAsia="Times New Roman" w:hAnsi="Times New Roman"/>
                <w:sz w:val="14"/>
                <w:szCs w:val="14"/>
                <w:color w:val="auto"/>
              </w:rPr>
              <w:t>(169,836)</w:t>
            </w:r>
          </w:p>
        </w:tc>
        <w:tc>
          <w:tcPr>
            <w:tcW w:w="7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(169,836)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Retirement of repurchased shares</w:t>
            </w:r>
          </w:p>
        </w:tc>
        <w:tc>
          <w:tcPr>
            <w:tcW w:w="96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(40,373,076)</w:t>
            </w:r>
          </w:p>
        </w:tc>
        <w:tc>
          <w:tcPr>
            <w:tcW w:w="70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(404)</w:t>
            </w:r>
          </w:p>
        </w:tc>
        <w:tc>
          <w:tcPr>
            <w:tcW w:w="90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40,373,076</w:t>
            </w:r>
          </w:p>
        </w:tc>
        <w:tc>
          <w:tcPr>
            <w:tcW w:w="820" w:type="dxa"/>
            <w:vAlign w:val="bottom"/>
            <w:gridSpan w:val="3"/>
          </w:tcPr>
          <w:p>
            <w:pPr>
              <w:jc w:val="right"/>
              <w:ind w:right="119"/>
              <w:spacing w:after="0" w:line="144" w:lineRule="exact"/>
              <w:rPr>
                <w:sz w:val="20"/>
                <w:szCs w:val="20"/>
                <w:color w:val="auto"/>
              </w:rPr>
            </w:pPr>
            <w:r>
              <w:rPr>
                <w:rFonts w:ascii="Times New Roman" w:cs="Times New Roman" w:eastAsia="Times New Roman" w:hAnsi="Times New Roman"/>
                <w:sz w:val="14"/>
                <w:szCs w:val="14"/>
                <w:color w:val="auto"/>
              </w:rPr>
              <w:t>108,375</w:t>
            </w:r>
          </w:p>
        </w:tc>
        <w:tc>
          <w:tcPr>
            <w:tcW w:w="7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(107,971)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Issuance of shares for restricted shares vested</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16,254,282</w:t>
            </w:r>
          </w:p>
        </w:tc>
        <w:tc>
          <w:tcPr>
            <w:tcW w:w="820" w:type="dxa"/>
            <w:vAlign w:val="bottom"/>
            <w:gridSpan w:val="3"/>
            <w:shd w:val="clear" w:color="auto" w:fill="CCEEFF"/>
          </w:tcPr>
          <w:p>
            <w:pPr>
              <w:jc w:val="right"/>
              <w:ind w:right="119"/>
              <w:spacing w:after="0" w:line="144" w:lineRule="exact"/>
              <w:rPr>
                <w:sz w:val="20"/>
                <w:szCs w:val="20"/>
                <w:color w:val="auto"/>
              </w:rPr>
            </w:pPr>
            <w:r>
              <w:rPr>
                <w:rFonts w:ascii="Times New Roman" w:cs="Times New Roman" w:eastAsia="Times New Roman" w:hAnsi="Times New Roman"/>
                <w:sz w:val="14"/>
                <w:szCs w:val="14"/>
                <w:color w:val="auto"/>
              </w:rPr>
              <w:t>47,903</w:t>
            </w:r>
          </w:p>
        </w:tc>
        <w:tc>
          <w:tcPr>
            <w:tcW w:w="7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(49,452)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Exercise of share options</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82,242</w:t>
            </w:r>
          </w:p>
        </w:tc>
        <w:tc>
          <w:tcPr>
            <w:tcW w:w="820" w:type="dxa"/>
            <w:vAlign w:val="bottom"/>
            <w:gridSpan w:val="3"/>
          </w:tcPr>
          <w:p>
            <w:pPr>
              <w:ind w:left="440"/>
              <w:spacing w:after="0" w:line="144" w:lineRule="exact"/>
              <w:rPr>
                <w:sz w:val="20"/>
                <w:szCs w:val="20"/>
                <w:color w:val="auto"/>
              </w:rPr>
            </w:pPr>
            <w:r>
              <w:rPr>
                <w:rFonts w:ascii="Times New Roman" w:cs="Times New Roman" w:eastAsia="Times New Roman" w:hAnsi="Times New Roman"/>
                <w:sz w:val="14"/>
                <w:szCs w:val="14"/>
                <w:color w:val="auto"/>
              </w:rPr>
              <w:t>240</w:t>
            </w:r>
          </w:p>
        </w:tc>
        <w:tc>
          <w:tcPr>
            <w:tcW w:w="7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Changes in shareholdings of the Philippine</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subsidiaries</w:t>
            </w: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Dividends declared to noncontrolling interests</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ind w:left="38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(177)</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Balance as at December 31, 2023</w:t>
            </w:r>
          </w:p>
        </w:tc>
        <w:tc>
          <w:tcPr>
            <w:tcW w:w="8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1,404,679,067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14,047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(93,408,292)</w:t>
            </w:r>
          </w:p>
        </w:tc>
        <w:tc>
          <w:tcPr>
            <w:tcW w:w="820" w:type="dxa"/>
            <w:vAlign w:val="bottom"/>
            <w:gridSpan w:val="3"/>
            <w:shd w:val="clear" w:color="auto" w:fill="CCEEFF"/>
          </w:tcPr>
          <w:p>
            <w:pPr>
              <w:jc w:val="right"/>
              <w:ind w:right="79"/>
              <w:spacing w:after="0" w:line="144" w:lineRule="exact"/>
              <w:rPr>
                <w:sz w:val="20"/>
                <w:szCs w:val="20"/>
                <w:color w:val="auto"/>
              </w:rPr>
            </w:pPr>
            <w:r>
              <w:rPr>
                <w:rFonts w:ascii="Times New Roman" w:cs="Times New Roman" w:eastAsia="Times New Roman" w:hAnsi="Times New Roman"/>
                <w:sz w:val="14"/>
                <w:szCs w:val="14"/>
                <w:color w:val="auto"/>
              </w:rPr>
              <w:t>(255,068)</w:t>
            </w:r>
          </w:p>
        </w:tc>
        <w:tc>
          <w:tcPr>
            <w:tcW w:w="74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3,109,212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(98,599)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(4,056,872)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447,230</w:t>
            </w:r>
          </w:p>
        </w:tc>
        <w:tc>
          <w:tcPr>
            <w:tcW w:w="6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(840,050)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43,543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(71,502)</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(27,959)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5,941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11,131</w:t>
            </w:r>
          </w:p>
        </w:tc>
        <w:tc>
          <w:tcPr>
            <w:tcW w:w="680" w:type="dxa"/>
            <w:vAlign w:val="bottom"/>
            <w:gridSpan w:val="2"/>
            <w:shd w:val="clear" w:color="auto" w:fill="CCEEFF"/>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17,072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(3,092)</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(11)</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(3,103)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27,902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3</w:t>
            </w:r>
          </w:p>
        </w:tc>
        <w:tc>
          <w:tcPr>
            <w:tcW w:w="680" w:type="dxa"/>
            <w:vAlign w:val="bottom"/>
            <w:gridSpan w:val="2"/>
            <w:shd w:val="clear" w:color="auto" w:fill="CCEEFF"/>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27,905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Shares repurchased by the Company</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(62,138,685)</w:t>
            </w:r>
          </w:p>
        </w:tc>
        <w:tc>
          <w:tcPr>
            <w:tcW w:w="820" w:type="dxa"/>
            <w:vAlign w:val="bottom"/>
            <w:gridSpan w:val="3"/>
          </w:tcPr>
          <w:p>
            <w:pPr>
              <w:jc w:val="right"/>
              <w:ind w:right="79"/>
              <w:spacing w:after="0" w:line="144" w:lineRule="exact"/>
              <w:rPr>
                <w:sz w:val="20"/>
                <w:szCs w:val="20"/>
                <w:color w:val="auto"/>
              </w:rPr>
            </w:pPr>
            <w:r>
              <w:rPr>
                <w:rFonts w:ascii="Times New Roman" w:cs="Times New Roman" w:eastAsia="Times New Roman" w:hAnsi="Times New Roman"/>
                <w:sz w:val="14"/>
                <w:szCs w:val="14"/>
                <w:color w:val="auto"/>
              </w:rPr>
              <w:t>(112,292)</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(112,292)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Retirement of repurchased shares</w:t>
            </w:r>
          </w:p>
        </w:tc>
        <w:tc>
          <w:tcPr>
            <w:tcW w:w="96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(53,138,685)</w:t>
            </w:r>
          </w:p>
        </w:tc>
        <w:tc>
          <w:tcPr>
            <w:tcW w:w="70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(532)</w:t>
            </w:r>
          </w:p>
        </w:tc>
        <w:tc>
          <w:tcPr>
            <w:tcW w:w="90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53,138,685</w:t>
            </w:r>
          </w:p>
        </w:tc>
        <w:tc>
          <w:tcPr>
            <w:tcW w:w="820" w:type="dxa"/>
            <w:vAlign w:val="bottom"/>
            <w:gridSpan w:val="3"/>
            <w:shd w:val="clear" w:color="auto" w:fill="CCEEFF"/>
          </w:tcPr>
          <w:p>
            <w:pPr>
              <w:jc w:val="right"/>
              <w:ind w:right="119"/>
              <w:spacing w:after="0" w:line="144" w:lineRule="exact"/>
              <w:rPr>
                <w:sz w:val="20"/>
                <w:szCs w:val="20"/>
                <w:color w:val="auto"/>
              </w:rPr>
            </w:pPr>
            <w:r>
              <w:rPr>
                <w:rFonts w:ascii="Times New Roman" w:cs="Times New Roman" w:eastAsia="Times New Roman" w:hAnsi="Times New Roman"/>
                <w:sz w:val="14"/>
                <w:szCs w:val="14"/>
                <w:color w:val="auto"/>
              </w:rPr>
              <w:t>121,521</w:t>
            </w:r>
          </w:p>
        </w:tc>
        <w:tc>
          <w:tcPr>
            <w:tcW w:w="7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(120,989)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Issuance of shares for restricted shares vested</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10,006,209</w:t>
            </w:r>
          </w:p>
        </w:tc>
        <w:tc>
          <w:tcPr>
            <w:tcW w:w="820" w:type="dxa"/>
            <w:vAlign w:val="bottom"/>
            <w:gridSpan w:val="3"/>
          </w:tcPr>
          <w:p>
            <w:pPr>
              <w:jc w:val="right"/>
              <w:ind w:right="119"/>
              <w:spacing w:after="0" w:line="144" w:lineRule="exact"/>
              <w:rPr>
                <w:sz w:val="20"/>
                <w:szCs w:val="20"/>
                <w:color w:val="auto"/>
              </w:rPr>
            </w:pPr>
            <w:r>
              <w:rPr>
                <w:rFonts w:ascii="Times New Roman" w:cs="Times New Roman" w:eastAsia="Times New Roman" w:hAnsi="Times New Roman"/>
                <w:sz w:val="14"/>
                <w:szCs w:val="14"/>
                <w:color w:val="auto"/>
              </w:rPr>
              <w:t>29,213</w:t>
            </w:r>
          </w:p>
        </w:tc>
        <w:tc>
          <w:tcPr>
            <w:tcW w:w="7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(29,803)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Changes in shareholdings of the Philippine</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subsidiaries</w:t>
            </w: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Dividends declared to noncontrolling interests</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ind w:left="38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(204)</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Balance as at December 31, 2024</w:t>
            </w:r>
          </w:p>
        </w:tc>
        <w:tc>
          <w:tcPr>
            <w:tcW w:w="8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1,351,540,382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13,515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(92,402,083)</w:t>
            </w:r>
          </w:p>
        </w:tc>
        <w:tc>
          <w:tcPr>
            <w:tcW w:w="820" w:type="dxa"/>
            <w:vAlign w:val="bottom"/>
            <w:gridSpan w:val="3"/>
            <w:shd w:val="clear" w:color="auto" w:fill="CCEEFF"/>
          </w:tcPr>
          <w:p>
            <w:pPr>
              <w:jc w:val="right"/>
              <w:ind w:right="79"/>
              <w:spacing w:after="0" w:line="144" w:lineRule="exact"/>
              <w:rPr>
                <w:sz w:val="20"/>
                <w:szCs w:val="20"/>
                <w:color w:val="auto"/>
              </w:rPr>
            </w:pPr>
            <w:r>
              <w:rPr>
                <w:rFonts w:ascii="Times New Roman" w:cs="Times New Roman" w:eastAsia="Times New Roman" w:hAnsi="Times New Roman"/>
                <w:sz w:val="14"/>
                <w:szCs w:val="14"/>
                <w:color w:val="auto"/>
              </w:rPr>
              <w:t>(216,626)</w:t>
            </w:r>
          </w:p>
        </w:tc>
        <w:tc>
          <w:tcPr>
            <w:tcW w:w="74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2,985,730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(95,750)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(4,013,329)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w w:val="94"/>
              </w:rPr>
              <w:t>           386,496</w:t>
            </w:r>
          </w:p>
        </w:tc>
        <w:tc>
          <w:tcPr>
            <w:tcW w:w="6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(939,964)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185,045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(39,589)</w:t>
            </w:r>
          </w:p>
        </w:tc>
        <w:tc>
          <w:tcPr>
            <w:tcW w:w="680" w:type="dxa"/>
            <w:vAlign w:val="bottom"/>
            <w:gridSpan w:val="2"/>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145,456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280"/>
              <w:spacing w:after="0" w:line="121"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(3,713)</w:t>
            </w:r>
          </w:p>
        </w:tc>
        <w:tc>
          <w:tcPr>
            <w:tcW w:w="68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28,644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32,357</w:t>
            </w: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Change in fair value of interest rate swaps, net</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w w:val="85"/>
              </w:rPr>
              <w:t>412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2</w:t>
            </w:r>
          </w:p>
        </w:tc>
        <w:tc>
          <w:tcPr>
            <w:tcW w:w="5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28,552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3</w:t>
            </w:r>
          </w:p>
        </w:tc>
        <w:tc>
          <w:tcPr>
            <w:tcW w:w="680" w:type="dxa"/>
            <w:vAlign w:val="bottom"/>
            <w:gridSpan w:val="2"/>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28,555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Shares repurchased by the Company</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(97,035,669)</w:t>
            </w:r>
          </w:p>
        </w:tc>
        <w:tc>
          <w:tcPr>
            <w:tcW w:w="820" w:type="dxa"/>
            <w:vAlign w:val="bottom"/>
            <w:gridSpan w:val="3"/>
            <w:shd w:val="clear" w:color="auto" w:fill="CCEEFF"/>
          </w:tcPr>
          <w:p>
            <w:pPr>
              <w:jc w:val="right"/>
              <w:ind w:right="79"/>
              <w:spacing w:after="0" w:line="144" w:lineRule="exact"/>
              <w:rPr>
                <w:sz w:val="20"/>
                <w:szCs w:val="20"/>
                <w:color w:val="auto"/>
              </w:rPr>
            </w:pPr>
            <w:r>
              <w:rPr>
                <w:rFonts w:ascii="Times New Roman" w:cs="Times New Roman" w:eastAsia="Times New Roman" w:hAnsi="Times New Roman"/>
                <w:sz w:val="14"/>
                <w:szCs w:val="14"/>
                <w:color w:val="auto"/>
              </w:rPr>
              <w:t>(166,010)</w:t>
            </w:r>
          </w:p>
        </w:tc>
        <w:tc>
          <w:tcPr>
            <w:tcW w:w="7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(166,010)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Issuance of shares for restricted shares vested</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9,676,248</w:t>
            </w:r>
          </w:p>
        </w:tc>
        <w:tc>
          <w:tcPr>
            <w:tcW w:w="820" w:type="dxa"/>
            <w:vAlign w:val="bottom"/>
            <w:gridSpan w:val="3"/>
          </w:tcPr>
          <w:p>
            <w:pPr>
              <w:jc w:val="right"/>
              <w:ind w:right="119"/>
              <w:spacing w:after="0" w:line="144" w:lineRule="exact"/>
              <w:rPr>
                <w:sz w:val="20"/>
                <w:szCs w:val="20"/>
                <w:color w:val="auto"/>
              </w:rPr>
            </w:pPr>
            <w:r>
              <w:rPr>
                <w:rFonts w:ascii="Times New Roman" w:cs="Times New Roman" w:eastAsia="Times New Roman" w:hAnsi="Times New Roman"/>
                <w:sz w:val="14"/>
                <w:szCs w:val="14"/>
                <w:color w:val="auto"/>
              </w:rPr>
              <w:t>25,084</w:t>
            </w:r>
          </w:p>
        </w:tc>
        <w:tc>
          <w:tcPr>
            <w:tcW w:w="7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(25,533)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Exercise of share options</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276,588</w:t>
            </w:r>
          </w:p>
        </w:tc>
        <w:tc>
          <w:tcPr>
            <w:tcW w:w="820" w:type="dxa"/>
            <w:vAlign w:val="bottom"/>
            <w:gridSpan w:val="3"/>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717</w:t>
            </w:r>
          </w:p>
        </w:tc>
        <w:tc>
          <w:tcPr>
            <w:tcW w:w="7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Dividends declared to noncontrolling interests</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3"/>
                <w:szCs w:val="13"/>
                <w:color w:val="auto"/>
              </w:rPr>
            </w:pPr>
          </w:p>
        </w:tc>
        <w:tc>
          <w:tcPr>
            <w:tcW w:w="76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5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3"/>
                <w:szCs w:val="13"/>
                <w:color w:val="auto"/>
              </w:rPr>
            </w:pPr>
          </w:p>
        </w:tc>
        <w:tc>
          <w:tcPr>
            <w:tcW w:w="740" w:type="dxa"/>
            <w:vAlign w:val="bottom"/>
            <w:gridSpan w:val="2"/>
          </w:tcPr>
          <w:p>
            <w:pPr>
              <w:jc w:val="right"/>
              <w:ind w:right="9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(226)</w:t>
            </w: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Balance as at December 31, 2025</w:t>
            </w:r>
          </w:p>
        </w:tc>
        <w:tc>
          <w:tcPr>
            <w:tcW w:w="8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1,351,540,382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w w:val="93"/>
              </w:rPr>
              <w:t>$ 13,515</w:t>
            </w: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(179,484,916</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w w:val="95"/>
              </w:rPr>
              <w:t>$ (356,835</w:t>
            </w:r>
          </w:p>
        </w:tc>
        <w:tc>
          <w:tcPr>
            <w:tcW w:w="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2,988,714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(63,712)</w:t>
            </w: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(3,828,284</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342,973</w:t>
            </w:r>
          </w:p>
        </w:tc>
        <w:tc>
          <w:tcPr>
            <w:tcW w:w="18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w w:val="92"/>
              </w:rPr>
              <w:t>$ (903,629</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0960"/>
          </w:cols>
          <w:pgMar w:left="320" w:top="472" w:right="6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2024</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145,456</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(27,959)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(415,330)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543,562</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541,538</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543,396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Amortization of deferred financing costs and original issue premiums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20,252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20,769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reversal of interest accretion on lease and other financial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(13,511)</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(11,784)</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loss on disposal of property and equipment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2,304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4,145</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3,316</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207,608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Impairment of goodwill</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57,924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gain on disposal of assets held for sale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Provision for (reversal of) credit losses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12,497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2,931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Provision for input value-added tax</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5,799</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5,865</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 (gain) on extinguishment of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Share-based compensation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29,270</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27,368</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35,473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 in fair value of derivative asset/liability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2,902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414</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(3,103)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4,954</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(53,941)</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(31,526)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Inventories, prepaid expenses and 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20,499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5,123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20,176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Long-term prepayments, deposits and 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(6,588)</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28,346</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accrued expenses and 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(16,853)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82,009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212,377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3,588</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818,115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626,656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622,690</w:t>
            </w:r>
          </w:p>
        </w:tc>
        <w:tc>
          <w:tcPr>
            <w:tcW w:w="0" w:type="dxa"/>
            <w:vAlign w:val="bottom"/>
          </w:tcPr>
          <w:p>
            <w:pPr>
              <w:spacing w:after="0"/>
              <w:rPr>
                <w:sz w:val="1"/>
                <w:szCs w:val="1"/>
                <w:color w:val="auto"/>
              </w:rPr>
            </w:pPr>
          </w:p>
        </w:tc>
      </w:tr>
      <w:tr>
        <w:trPr>
          <w:trHeight w:val="215"/>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(307,218)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(227,760)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intangible and other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(18,882)</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(39,240)</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for capitalized construction costs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(15,880)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(34,181)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(132,923)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205</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assets held for sale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loan repayment from an affiliated company</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(341,775)</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(300,807)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(48,513)</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680" w:type="dxa"/>
            <w:vAlign w:val="bottom"/>
          </w:tcPr>
          <w:p>
            <w:pPr>
              <w:ind w:left="5140"/>
              <w:spacing w:after="0"/>
              <w:rPr>
                <w:sz w:val="20"/>
                <w:szCs w:val="20"/>
                <w:color w:val="auto"/>
              </w:rPr>
            </w:pPr>
            <w:r>
              <w:rPr>
                <w:rFonts w:ascii="Times New Roman" w:cs="Times New Roman" w:eastAsia="Times New Roman" w:hAnsi="Times New Roman"/>
                <w:sz w:val="17"/>
                <w:szCs w:val="17"/>
                <w:color w:val="auto"/>
              </w:rPr>
              <w:t>F-13</w:t>
            </w: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24" w:name="page225"/>
    <w:bookmarkEnd w:id="2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7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3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00" w:type="dxa"/>
            <w:vAlign w:val="bottom"/>
            <w:gridSpan w:val="4"/>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r>
              <w:rPr>
                <w:rFonts w:ascii="Times New Roman" w:cs="Times New Roman" w:eastAsia="Times New Roman" w:hAnsi="Times New Roman"/>
                <w:sz w:val="17"/>
                <w:szCs w:val="17"/>
                <w:color w:val="auto"/>
              </w:rPr>
              <w:t xml:space="preserve"> - continued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ind w:left="37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60" w:type="dxa"/>
            <w:vAlign w:val="bottom"/>
          </w:tcPr>
          <w:p>
            <w:pPr>
              <w:spacing w:after="0"/>
              <w:rPr>
                <w:sz w:val="19"/>
                <w:szCs w:val="19"/>
                <w:color w:val="auto"/>
              </w:rPr>
            </w:pPr>
          </w:p>
        </w:tc>
        <w:tc>
          <w:tcPr>
            <w:tcW w:w="3260" w:type="dxa"/>
            <w:vAlign w:val="bottom"/>
            <w:gridSpan w:val="9"/>
            <w:vMerge w:val="restart"/>
          </w:tcPr>
          <w:p>
            <w:pPr>
              <w:jc w:val="right"/>
              <w:ind w:right="86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 xml:space="preserve">          </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(2,093,985)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(1,169,579)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(2,201,562)</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(166,010)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(112,292)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(169,836)</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Payments of intangible assets liabilities</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(9,519)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(8,723)</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(7,981)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of financing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(36,950)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Dividends paid</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exercise of share options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1,670,787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1,251,544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shares of a subsidiary</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(671)</w:t>
            </w:r>
          </w:p>
        </w:tc>
        <w:tc>
          <w:tcPr>
            <w:tcW w:w="0" w:type="dxa"/>
            <w:vAlign w:val="bottom"/>
          </w:tcPr>
          <w:p>
            <w:pPr>
              <w:spacing w:after="0"/>
              <w:rPr>
                <w:sz w:val="1"/>
                <w:szCs w:val="1"/>
                <w:color w:val="auto"/>
              </w:rPr>
            </w:pPr>
          </w:p>
        </w:tc>
      </w:tr>
      <w:tr>
        <w:trPr>
          <w:trHeight w:val="221"/>
        </w:trPr>
        <w:tc>
          <w:tcPr>
            <w:tcW w:w="75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(478,349)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(1,129,124)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(10,264)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2,326</w:t>
            </w:r>
          </w:p>
        </w:tc>
        <w:tc>
          <w:tcPr>
            <w:tcW w:w="0" w:type="dxa"/>
            <w:vAlign w:val="bottom"/>
          </w:tcPr>
          <w:p>
            <w:pPr>
              <w:spacing w:after="0"/>
              <w:rPr>
                <w:sz w:val="1"/>
                <w:szCs w:val="1"/>
                <w:color w:val="auto"/>
              </w:rPr>
            </w:pPr>
          </w:p>
        </w:tc>
      </w:tr>
      <w:tr>
        <w:trPr>
          <w:trHeight w:val="215"/>
        </w:trPr>
        <w:tc>
          <w:tcPr>
            <w:tcW w:w="75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Decrease in cash, cash equivalents and restricted cash</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(162,764)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(552,621)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1,273,072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1,988,457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1,273,072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 w:type="dxa"/>
            <w:vAlign w:val="bottom"/>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cash flow disclosures: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Cash paid for interest, net of amounts capitalized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(460,626)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(473,233)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(490,910)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(10,145)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4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Cash paid for amounts included in the measurement of lease liabilities - operating cash flows from</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(18,641)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(20,769)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(17,135)</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Repayments of long-term debt to related parties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(30,705)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(886)</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Non-cash disclosures: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40" w:type="dxa"/>
            <w:vAlign w:val="bottom"/>
            <w:gridSpan w:val="2"/>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Change in operating lease liabilities arising from obtaining operating lease right-of-use assets and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7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lease modifications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37,587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22,365</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4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Change in accrued expenses and other current liabilities and other long-term liabilities related to</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47,144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28,543</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40" w:type="dxa"/>
            <w:vAlign w:val="bottom"/>
            <w:gridSpan w:val="2"/>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Change in accrued expenses and other current liabilities and other long-term liabilities related to</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7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construction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4,429</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Change in accrued expenses and other current liabilities related to acquisition of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6,280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other current and other long-term liabilities arising from recognition of intangible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312,647</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4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Transfer of property and equipment to assets under sales-type lease and included in prepaid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expenses and other current assets and long-term prepayments, deposits and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0960"/>
          </w:cols>
          <w:pgMar w:left="320" w:top="467" w:right="6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Company Information</w:t>
      </w:r>
    </w:p>
    <w:p>
      <w:pPr>
        <w:spacing w:after="0" w:line="120" w:lineRule="exact"/>
        <w:rPr>
          <w:rFonts w:ascii="Times New Roman" w:cs="Times New Roman" w:eastAsia="Times New Roman" w:hAnsi="Times New Roman"/>
          <w:sz w:val="17"/>
          <w:szCs w:val="17"/>
          <w:color w:val="auto"/>
        </w:rPr>
      </w:pPr>
    </w:p>
    <w:p>
      <w:pPr>
        <w:ind w:left="1260" w:right="4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&amp; Entertainment Limited (“Melco Resorts”) is incorporated in the Cayman Islands and its American depositary shares (“ADSs”) are listed on the Nasdaq Global Select Market under the symbol “MLCO” in the United States of America (the “U.S.”).</w:t>
      </w:r>
    </w:p>
    <w:p>
      <w:pPr>
        <w:spacing w:after="0" w:line="42" w:lineRule="exact"/>
        <w:rPr>
          <w:rFonts w:ascii="Times New Roman" w:cs="Times New Roman" w:eastAsia="Times New Roman" w:hAnsi="Times New Roman"/>
          <w:sz w:val="17"/>
          <w:szCs w:val="17"/>
          <w:color w:val="auto"/>
        </w:rPr>
      </w:pPr>
    </w:p>
    <w:p>
      <w:pPr>
        <w:ind w:left="12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together with its subsidiaries (collectively referred to as the “Company”), is a developer, owner and operator of integrated resort facilities in Asia and Europe. In the Macau Special Administrative Region of the People’s Republic of China (“Macau”), the Company operates its gaming business through its subsidiary, Melco Resorts (Macau) Limited (“MRM”), a holder of a ten-year concession to operate games of fortune and chance in casinos in Macau which commenced on January 1, 2023 and ends on December 31, 2032 (the “Concession”). The Company currently operates City of Dreams and Altira Macau, integrated resorts located in Cotai and Taipa, Macau, respectively. As part of the Company’s development strategy and in accordance with Macau gaming law, Grand Dragon Casino, a casino located in Taipa, Macau, and three of the six Mocha Clubs, which comprise non-casino based operations of electronic gaming machines in Macau, ceased operations between the period from September to December 2025. Following these closures, the gaming tables and electronic gaming machines were reallocated to the Company’s other gaming areas in Macau. The Company has submitted relevant application for the continuing operations of the remaining three Mocha Clubs, namely Mocha Inner Harbour, Mocha Hotel Sintra and Mocha Golden Dragon beyond December 31, 2025, and such application has been approved by the Macau government. On February 10, 2026, the Company entered into an amendment agreement to the concession agreement to reflect the permanent cessation of operations of the Grand Dragon Casino and three Mocha Clubs effective from January 1, 2026. Melco Resorts, through its subsidiaries, including Studio City International Holdings Limited (“SCIH”), which is majority-owned by Melco Resorts and its ADSs are listed on the New York Stock Exchange in the U.S., also operates Studio City, a cinematically-themed integrated resort in Cotai, Macau. In the Philippines, a majority-owned subsidiary of Melco Resorts operates and manages City of Dreams Manila, an integrated resort in the Entertainment City complex in Manila. In Europe, Melco Resorts, through its majority-owned subsidiaries, operates City of Dreams Mediterranean, an integrated resort in Limassol, in the Republic of Cyprus (“Cyprus”), and licensed satellite casinos in Cyprus (collectively, the “Cyprus Operations”). In South Asia, a subsidiary of Melco Resorts currently holds a casino license granted by the government of the Democratic Socialist Republic of Sri Lanka (“Sri Lanka”) (the “Sri Lanka License”) for a term of 20 years effective from April 1, 2024, to operate a casino business (the “Sri Lanka Casino”) which had an initial opening on August 1, 2025, in an integrated resort branded as “City of Dreams Sri Lanka” in Colombo, Sri Lanka, developed by a subsidiary of John Keells Holdings PLC (“John Keells”), an independent third party.</w:t>
      </w:r>
    </w:p>
    <w:p>
      <w:pPr>
        <w:spacing w:after="0" w:line="81" w:lineRule="exact"/>
        <w:rPr>
          <w:rFonts w:ascii="Times New Roman" w:cs="Times New Roman" w:eastAsia="Times New Roman" w:hAnsi="Times New Roman"/>
          <w:sz w:val="17"/>
          <w:szCs w:val="17"/>
          <w:color w:val="auto"/>
        </w:rPr>
      </w:pPr>
    </w:p>
    <w:p>
      <w:pPr>
        <w:ind w:left="1260" w:right="4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Development Limited (“Melco International” or “Ultimate Parent”), a company listed in the Hong Kong Special Administrative Region of the People’s Republic of China (“Hong Kong”), is the single largest shareholder of Melco Resorts.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Recent Developments Related to Business Operations</w:t>
      </w:r>
    </w:p>
    <w:p>
      <w:pPr>
        <w:spacing w:after="0" w:line="120" w:lineRule="exact"/>
        <w:rPr>
          <w:rFonts w:ascii="Times New Roman" w:cs="Times New Roman" w:eastAsia="Times New Roman" w:hAnsi="Times New Roman"/>
          <w:sz w:val="17"/>
          <w:szCs w:val="17"/>
          <w:color w:val="auto"/>
        </w:rPr>
      </w:pPr>
    </w:p>
    <w:p>
      <w:pPr>
        <w:jc w:val="both"/>
        <w:ind w:left="1260" w:right="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Mediterranean continues to be impacted by the on-going military conflicts in the Middle East, including between the U.S., Israel and Iran, and between Russia and Ukraine, and restrictions on the ability to accept certain customers from Russia, all of which have a negative impact on the Company’s business, and may materially and adversely affect the Company’s business in</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960"/>
          </w:cols>
          <w:pgMar w:left="320" w:top="472" w:right="6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Recent Developments Related to Business Operations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Cyprus. The Company is currently unable to reasonably estimate the financial impact on its future results of operations, cash flows and financial condition from these disruptions.</w:t>
      </w:r>
    </w:p>
    <w:p>
      <w:pPr>
        <w:spacing w:after="0" w:line="42"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2025, a subsidiary of Melco Resorts, as a hotel manager, entered into a management agreement (effective as of July 15, 2025) with a subsidiary of John Keells, owner of the hotel property, to provide management services to operate the top five floors of the hotel tower at City of Dreams Sri Lanka, as a “Nüwa” hotel (“Nüwa Sri Lanka”), which opened to the public on July 15, 2025.</w:t>
      </w:r>
    </w:p>
    <w:p>
      <w:pPr>
        <w:spacing w:after="0" w:line="57" w:lineRule="exact"/>
        <w:rPr>
          <w:rFonts w:ascii="Times New Roman" w:cs="Times New Roman" w:eastAsia="Times New Roman" w:hAnsi="Times New Roman"/>
          <w:sz w:val="17"/>
          <w:szCs w:val="17"/>
          <w:color w:val="auto"/>
        </w:rPr>
      </w:pPr>
    </w:p>
    <w:p>
      <w:pPr>
        <w:ind w:left="1260" w:right="6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Company had cash and cash equivalents of $1,023,199 and available unused borrowing capacity of $1,311,640 of which $1,231,606 is available to draw, subject to the satisfaction of certain conditions precedent.</w:t>
      </w:r>
    </w:p>
    <w:p>
      <w:pPr>
        <w:spacing w:after="0" w:line="42"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it is able to support continuing operations and capital expenditures for at least twelve months after the date of these consolidated financial statements are issued. Accordingly, the accompanying consolidated financial statements are prepared on a going concern basis.</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Basis of Presentation and Principles of Consolidation</w:t>
      </w:r>
    </w:p>
    <w:p>
      <w:pPr>
        <w:spacing w:after="0" w:line="120" w:lineRule="exact"/>
        <w:rPr>
          <w:rFonts w:ascii="Times New Roman" w:cs="Times New Roman" w:eastAsia="Times New Roman" w:hAnsi="Times New Roman"/>
          <w:sz w:val="17"/>
          <w:szCs w:val="17"/>
          <w:color w:val="auto"/>
        </w:rPr>
      </w:pPr>
    </w:p>
    <w:p>
      <w:pPr>
        <w:ind w:left="1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financial statements have been prepared in conformity with U.S. generally accepted accounting principles (“U.S. GAAP”).</w:t>
      </w:r>
    </w:p>
    <w:p>
      <w:pPr>
        <w:spacing w:after="0" w:line="42" w:lineRule="exact"/>
        <w:rPr>
          <w:rFonts w:ascii="Times New Roman" w:cs="Times New Roman" w:eastAsia="Times New Roman" w:hAnsi="Times New Roman"/>
          <w:sz w:val="17"/>
          <w:szCs w:val="17"/>
          <w:color w:val="auto"/>
        </w:rPr>
      </w:pPr>
    </w:p>
    <w:p>
      <w:pPr>
        <w:ind w:left="1260" w:right="6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financial statements include the accounts of Melco Resorts and its subsidiaries. All intercompany accounts and transactions have been eliminated in consolidation.</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Use of Estimates</w:t>
      </w:r>
    </w:p>
    <w:p>
      <w:pPr>
        <w:spacing w:after="0" w:line="120" w:lineRule="exact"/>
        <w:rPr>
          <w:rFonts w:ascii="Times New Roman" w:cs="Times New Roman" w:eastAsia="Times New Roman" w:hAnsi="Times New Roman"/>
          <w:sz w:val="17"/>
          <w:szCs w:val="17"/>
          <w:color w:val="auto"/>
        </w:rPr>
      </w:pPr>
    </w:p>
    <w:p>
      <w:pPr>
        <w:ind w:left="12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Estimates are used for, but not limited to, inputs into the Company’s estimated allowances for deferred tax assets and credit losses, useful lives and recoverability of long-lived assets and intangible assets, inputs in calculating the fair values of share option and derivative instruments, litigation and contingency estimates.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79"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Fair Value of Financial Instruments</w:t>
      </w:r>
    </w:p>
    <w:p>
      <w:pPr>
        <w:spacing w:after="0" w:line="120" w:lineRule="exact"/>
        <w:rPr>
          <w:rFonts w:ascii="Times New Roman" w:cs="Times New Roman" w:eastAsia="Times New Roman" w:hAnsi="Times New Roman"/>
          <w:sz w:val="17"/>
          <w:szCs w:val="17"/>
          <w:color w:val="auto"/>
        </w:rPr>
      </w:pPr>
    </w:p>
    <w:p>
      <w:pPr>
        <w:ind w:left="1260" w:right="3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Cash and Cash Equivalents</w:t>
      </w:r>
    </w:p>
    <w:p>
      <w:pPr>
        <w:spacing w:after="0" w:line="120"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920"/>
          </w:cols>
          <w:pgMar w:left="320" w:top="472" w:right="6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Restricted Cash</w:t>
      </w:r>
    </w:p>
    <w:p>
      <w:pPr>
        <w:spacing w:after="0" w:line="120" w:lineRule="exact"/>
        <w:rPr>
          <w:rFonts w:ascii="Times New Roman" w:cs="Times New Roman" w:eastAsia="Times New Roman" w:hAnsi="Times New Roman"/>
          <w:sz w:val="17"/>
          <w:szCs w:val="17"/>
          <w:color w:val="auto"/>
        </w:rPr>
      </w:pPr>
    </w:p>
    <w:p>
      <w:pPr>
        <w:ind w:left="12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cash deposits in (i) collateral bank accounts for bank guarantees as disclosed in Note 3; and (ii) collateral bank accounts associated with borrowings under the credit facilities as disclosed in Note 10.</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Accounts Receivable and Credit Risk</w:t>
      </w:r>
    </w:p>
    <w:p>
      <w:pPr>
        <w:spacing w:after="0" w:line="120" w:lineRule="exact"/>
        <w:rPr>
          <w:rFonts w:ascii="Times New Roman" w:cs="Times New Roman" w:eastAsia="Times New Roman" w:hAnsi="Times New Roman"/>
          <w:sz w:val="17"/>
          <w:szCs w:val="17"/>
          <w:color w:val="auto"/>
        </w:rPr>
      </w:pPr>
    </w:p>
    <w:p>
      <w:pPr>
        <w:ind w:left="1260" w:right="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that potentially subject the Company to concentration of credit risk consist principally of casino accounts receivable. The Company issues credit pursuant to gaming credit facilities entered into with casino customers following a review of their creditworthiness. Credit is/can be given to gaming promoters in the Philippines and Cyprus. These receivables can be offset against commissions payable and any other payments due by the Company to customers and gaming promoters. As of December 31, 2025 and 2024, a substantial portion of the Company’s markers issued pursuant to gaming credit facilities were due from customers residing in various countries and from licensed gaming promoters. Business and economic conditions, the legal enforceability of gaming debts, foreign currency control measures or other significant circumstances in these countries could affect the collectability of receivables from customers and gaming promoters.</w:t>
      </w:r>
    </w:p>
    <w:p>
      <w:pPr>
        <w:spacing w:after="0" w:line="70" w:lineRule="exact"/>
        <w:rPr>
          <w:rFonts w:ascii="Times New Roman" w:cs="Times New Roman" w:eastAsia="Times New Roman" w:hAnsi="Times New Roman"/>
          <w:sz w:val="17"/>
          <w:szCs w:val="17"/>
          <w:color w:val="auto"/>
        </w:rPr>
      </w:pPr>
    </w:p>
    <w:p>
      <w:pPr>
        <w:ind w:left="1260" w:right="1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including casino,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and reflects the net amount the Company expects to collect. The allowance for credit losses is estimated based on specific reviews of the age of the balances owed, the customers’ financial condition, management’s experience with the collection trends of customers, current business and economic conditions, and management’s expectations of future business and economic conditions.</w:t>
      </w:r>
    </w:p>
    <w:p>
      <w:pPr>
        <w:spacing w:after="0" w:line="68"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and 2024, the credit risks associated with certain casino accounts receivable are mitigated because they are secured by properties with equal or greater value to the carrying amount of the related accounts receivable. Management believes that as of December 31, 2025 and 2024, no significant concentrations of credit risk existed for which an allowance had not already been recorded.</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Inventories</w:t>
      </w:r>
    </w:p>
    <w:p>
      <w:pPr>
        <w:spacing w:after="0" w:line="120" w:lineRule="exact"/>
        <w:rPr>
          <w:rFonts w:ascii="Times New Roman" w:cs="Times New Roman" w:eastAsia="Times New Roman" w:hAnsi="Times New Roman"/>
          <w:sz w:val="17"/>
          <w:szCs w:val="17"/>
          <w:color w:val="auto"/>
        </w:rPr>
      </w:pPr>
    </w:p>
    <w:p>
      <w:pPr>
        <w:ind w:left="1260" w:right="1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Inventories consist of retail merchandise, food and beverage items and certain operating supplies, which are stated at the lower of cost or net realizable value. Cost is calculated using the first-in, first-out, weighted average and specific identification methods.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Prepaid Expenses and Other Current Assets</w:t>
      </w:r>
    </w:p>
    <w:p>
      <w:pPr>
        <w:spacing w:after="0" w:line="120" w:lineRule="exact"/>
        <w:rPr>
          <w:rFonts w:ascii="Times New Roman" w:cs="Times New Roman" w:eastAsia="Times New Roman" w:hAnsi="Times New Roman"/>
          <w:sz w:val="17"/>
          <w:szCs w:val="17"/>
          <w:color w:val="auto"/>
        </w:rPr>
      </w:pPr>
    </w:p>
    <w:p>
      <w:pPr>
        <w:ind w:left="1260" w:right="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Prepaid expenses and other current assets represent current assets that are typically used up or expire within the normal operating cycle of the Company. The prepaid expenses as of December 31, 2025 and 2024 were $41,619 and $59,264, respectively, and the other current assets as of December 31, 2025 and 2024 were $40,171 and $43,257, respectively.</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0940"/>
          </w:cols>
          <w:pgMar w:left="320" w:top="472" w:right="6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Property and Equipment</w:t>
      </w:r>
    </w:p>
    <w:p>
      <w:pPr>
        <w:spacing w:after="0" w:line="120"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57" w:lineRule="exact"/>
        <w:rPr>
          <w:rFonts w:ascii="Times New Roman" w:cs="Times New Roman" w:eastAsia="Times New Roman" w:hAnsi="Times New Roman"/>
          <w:sz w:val="17"/>
          <w:szCs w:val="17"/>
          <w:color w:val="auto"/>
        </w:rPr>
      </w:pPr>
    </w:p>
    <w:p>
      <w:pPr>
        <w:ind w:left="1260" w:right="1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construction and development stage of the Company’s integrated resort facilities,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and the net interest of related interest rate hedging instruments designated for hedge, are capitalized in property and equipment. The capitalization of such costs begins when the construction and development of a project starts and ceases once the construction is substantially completed or development activities are substantially suspended.</w:t>
      </w:r>
    </w:p>
    <w:p>
      <w:pPr>
        <w:spacing w:after="0" w:line="68" w:lineRule="exact"/>
        <w:rPr>
          <w:rFonts w:ascii="Times New Roman" w:cs="Times New Roman" w:eastAsia="Times New Roman" w:hAnsi="Times New Roman"/>
          <w:sz w:val="17"/>
          <w:szCs w:val="17"/>
          <w:color w:val="auto"/>
        </w:rPr>
      </w:pPr>
    </w:p>
    <w:p>
      <w:pPr>
        <w:ind w:left="1260" w:right="1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expense related to capitalized construction costs and other property and equipment is recognized from the time each asset is placed in service. This may occur at different stages as integrated resort facilities are completed and opened.</w:t>
      </w:r>
    </w:p>
    <w:p>
      <w:pPr>
        <w:spacing w:after="0" w:line="4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and equipment are depreciated and amortized over the following estimated useful lives on a straight-line basis:</w:t>
      </w: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Freehold land</w:t>
            </w:r>
          </w:p>
        </w:tc>
        <w:tc>
          <w:tcPr>
            <w:tcW w:w="6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Not depreciated</w:t>
            </w: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Land improvements</w:t>
            </w:r>
          </w:p>
        </w:tc>
        <w:tc>
          <w:tcPr>
            <w:tcW w:w="66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 years</w:t>
            </w: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6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 to 40 years</w:t>
            </w: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Transportation</w:t>
            </w:r>
          </w:p>
        </w:tc>
        <w:tc>
          <w:tcPr>
            <w:tcW w:w="66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 to 10 years</w:t>
            </w: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6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 to 19 years or over the lease term, whichever is shorter</w:t>
            </w: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66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2 to 15 years</w:t>
            </w: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Gaming equipment</w:t>
            </w:r>
          </w:p>
        </w:tc>
        <w:tc>
          <w:tcPr>
            <w:tcW w:w="6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18 months to 5 years</w:t>
            </w:r>
          </w:p>
        </w:tc>
      </w:tr>
    </w:tbl>
    <w:p>
      <w:pPr>
        <w:spacing w:after="0" w:line="86" w:lineRule="exact"/>
        <w:rPr>
          <w:sz w:val="20"/>
          <w:szCs w:val="20"/>
          <w:color w:val="auto"/>
        </w:rPr>
      </w:pPr>
    </w:p>
    <w:p>
      <w:pPr>
        <w:jc w:val="both"/>
        <w:ind w:left="1260" w:right="180"/>
        <w:spacing w:after="0" w:line="276" w:lineRule="auto"/>
        <w:rPr>
          <w:sz w:val="20"/>
          <w:szCs w:val="20"/>
          <w:color w:val="auto"/>
        </w:rPr>
      </w:pPr>
      <w:r>
        <w:rPr>
          <w:rFonts w:ascii="Times New Roman" w:cs="Times New Roman" w:eastAsia="Times New Roman" w:hAnsi="Times New Roman"/>
          <w:sz w:val="17"/>
          <w:szCs w:val="17"/>
          <w:color w:val="auto"/>
        </w:rPr>
        <w:t>During the years ended December 31, 2025, 2024 and 2023, impairments of property and equipment of $4,073, $3,120 and $110,033, as part of the impairment of long-lived assets as described in Note 2(l), were recognized, respectively, and included in property charges and other in the accompanying consolidated statements of operations.</w:t>
      </w:r>
    </w:p>
    <w:p>
      <w:pPr>
        <w:spacing w:after="0" w:line="68" w:lineRule="exact"/>
        <w:rPr>
          <w:sz w:val="20"/>
          <w:szCs w:val="20"/>
          <w:color w:val="auto"/>
        </w:rPr>
      </w:pPr>
    </w:p>
    <w:p>
      <w:pPr>
        <w:ind w:left="1240" w:hanging="530"/>
        <w:spacing w:after="0"/>
        <w:tabs>
          <w:tab w:leader="none" w:pos="12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Capitalized Interest</w:t>
      </w:r>
    </w:p>
    <w:p>
      <w:pPr>
        <w:spacing w:after="0" w:line="120" w:lineRule="exact"/>
        <w:rPr>
          <w:rFonts w:ascii="Times New Roman" w:cs="Times New Roman" w:eastAsia="Times New Roman" w:hAnsi="Times New Roman"/>
          <w:sz w:val="17"/>
          <w:szCs w:val="17"/>
          <w:color w:val="auto"/>
        </w:rPr>
      </w:pPr>
    </w:p>
    <w:p>
      <w:pPr>
        <w:ind w:left="1260" w:right="1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including amortization of deferred financing costs and the net interest of related interest rate hedging instruments designated for hedge, associated with major development and construction projects is capitalized and included in the cost of the projects. The capitalization of interest ceases when the project is substantially completed or the development activities are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 incurred amounted to $466,127, $487,000 and $518,255, of which $1,223, $279 and $25,864 were capitalized during the years ended December 31, 2025, 2024 and 2023, respectively.</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0960"/>
          </w:cols>
          <w:pgMar w:left="320" w:top="472" w:right="6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Goodwill and Intangible Assets</w:t>
      </w:r>
    </w:p>
    <w:p>
      <w:pPr>
        <w:spacing w:after="0" w:line="120" w:lineRule="exact"/>
        <w:rPr>
          <w:rFonts w:ascii="Times New Roman" w:cs="Times New Roman" w:eastAsia="Times New Roman" w:hAnsi="Times New Roman"/>
          <w:sz w:val="17"/>
          <w:szCs w:val="17"/>
          <w:color w:val="auto"/>
        </w:rPr>
      </w:pPr>
    </w:p>
    <w:p>
      <w:pPr>
        <w:ind w:left="1260" w:right="1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represents the excess of the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w:t>
      </w:r>
    </w:p>
    <w:p>
      <w:pPr>
        <w:spacing w:after="0" w:line="57" w:lineRule="exact"/>
        <w:rPr>
          <w:rFonts w:ascii="Times New Roman" w:cs="Times New Roman" w:eastAsia="Times New Roman" w:hAnsi="Times New Roman"/>
          <w:sz w:val="17"/>
          <w:szCs w:val="17"/>
          <w:color w:val="auto"/>
        </w:rPr>
      </w:pPr>
    </w:p>
    <w:p>
      <w:pPr>
        <w:ind w:left="12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other than goodwill are amortized over their estimated useful lives unless their useful lives are determined to be indefinite in which case they are not amortized. Intangible assets are stated at cost, net of accumulated amortization, and accumulated impairment, if any. The Company’s finite-lived intangible assets consist of the Concession, the Cyprus License (as defined in Note 6), the Sri Lanka License, internal-use software, proprietary rights and Mocha Clubs trademarks (as discussed below). Finite-lived intangible assets are amortized over the shorter of their contractual terms or estimated useful lives on a straight-line basis. Effective from June 9, 2025, the date which Melco Resorts announced the development of Mocha Clubs as disclosed in Note 1, the estimated useful lives of Mocha Clubs trademarks were changed from indefinite useful lives to finite useful lives. Accordingly, the carrying amount is amortized on a straight-line basis over the remaining period of the Concession and the projection period of Mocha Clubs’ future cash flow is also adjusted to the end of the Concession period for impairment testing. The change in estimated useful lives of Mocha Clubs trademarks had no material impact to net income for the year ended December 31, 2025.</w:t>
      </w:r>
    </w:p>
    <w:p>
      <w:pPr>
        <w:spacing w:after="0" w:line="69" w:lineRule="exact"/>
        <w:rPr>
          <w:rFonts w:ascii="Times New Roman" w:cs="Times New Roman" w:eastAsia="Times New Roman" w:hAnsi="Times New Roman"/>
          <w:sz w:val="17"/>
          <w:szCs w:val="17"/>
          <w:color w:val="auto"/>
        </w:rPr>
      </w:pPr>
    </w:p>
    <w:p>
      <w:pPr>
        <w:ind w:left="1260" w:right="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to develop software for internal use are capitalized and amortized over the estimated useful lives of the software of 3 to 15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66" w:lineRule="exact"/>
        <w:rPr>
          <w:rFonts w:ascii="Times New Roman" w:cs="Times New Roman" w:eastAsia="Times New Roman" w:hAnsi="Times New Roman"/>
          <w:sz w:val="17"/>
          <w:szCs w:val="17"/>
          <w:color w:val="auto"/>
        </w:rPr>
      </w:pPr>
    </w:p>
    <w:p>
      <w:pPr>
        <w:ind w:left="1260"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performing the impairment analysis for goodwill and intangible assets with indefinite lives, the Company will first perform a qualitative assessment to determine whether it is necessary to perform a quantitative impairment test. If the qualitative factors indicate that the carrying amount of the reporting unit is more likely than not to exceed the fair value, then a quantitative impairment test is performed. To perform a quantitative impairment test of intangible assets with indefinite lives, the Company performs an assessment that consists of a comparison of the fair values of the intangible assets with indefinite lives with their carrying amounts. An impairment is recognized in an amount equal to the excess of the carrying amounts over the fair values of the intangible assets with indefinite lives. To perform a quantitative impairment test of goodwill, the Company performs an assessment that consists of a comparison of the carrying value of a reporting unit with its fair value. The fair value of the reporting unit is determined using income valuation approaches through the application of the discounted cash flow method. Estimating fair value of the reporting unit involves significant assumptions, including future revenue growth rates, future market conditions, gross margin, discount rate and terminal growth rate, if applicable. If the carrying value of the reporting unit exceeds its fair value, an impairment is recognized for the amount by which the carrying value exceeds the reporting unit’s fair value, limited to the total amount of goodwill allocated to that reporting unit.</w:t>
      </w:r>
    </w:p>
    <w:p>
      <w:pPr>
        <w:spacing w:after="0" w:line="72"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as a result of three Mocha Clubs ceasing operations between the period from September to December 2025 as disclosed in Note 1, the Company recognized an impairment of goodwill in relation to the Mocha and Other segment of $57,924, which was included</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940"/>
          </w:cols>
          <w:pgMar w:left="320" w:top="472" w:right="6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Goodwill and Intangible Assets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1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property charges and other in the accompanying consolidated statements of operations. The fair value of the reporting unit of Mocha and Other was estimated by using level 3 inputs based on income approach and the discount rate adopted in the income approach for the year ended December 31, 2025 was 13.2%. No impairment on goodwill and intangible assets with indefinite lives was recognized during the years ended December 31, 2024 and 2023.</w:t>
      </w:r>
    </w:p>
    <w:p>
      <w:pPr>
        <w:spacing w:after="0" w:line="64" w:lineRule="exact"/>
        <w:rPr>
          <w:rFonts w:ascii="Times New Roman" w:cs="Times New Roman" w:eastAsia="Times New Roman" w:hAnsi="Times New Roman"/>
          <w:sz w:val="17"/>
          <w:szCs w:val="17"/>
          <w:color w:val="auto"/>
        </w:rPr>
      </w:pPr>
    </w:p>
    <w:p>
      <w:pPr>
        <w:ind w:left="1260" w:right="3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part of the impairment of long-lived assets recognized during the years ended December 31, 2025, 2024 and 2023 as described in Note 2(l), the finite-lived intangible assets for Altira Macau as of December 31, 2025 and 2024 were fully impaired.</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Impairment of Long-lived Assets (Other Than Goodwill)</w:t>
      </w:r>
    </w:p>
    <w:p>
      <w:pPr>
        <w:spacing w:after="0" w:line="120" w:lineRule="exact"/>
        <w:rPr>
          <w:rFonts w:ascii="Times New Roman" w:cs="Times New Roman" w:eastAsia="Times New Roman" w:hAnsi="Times New Roman"/>
          <w:sz w:val="17"/>
          <w:szCs w:val="17"/>
          <w:color w:val="auto"/>
        </w:rPr>
      </w:pPr>
    </w:p>
    <w:p>
      <w:pPr>
        <w:ind w:left="12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68" w:lineRule="exact"/>
        <w:rPr>
          <w:rFonts w:ascii="Times New Roman" w:cs="Times New Roman" w:eastAsia="Times New Roman" w:hAnsi="Times New Roman"/>
          <w:sz w:val="17"/>
          <w:szCs w:val="17"/>
          <w:color w:val="auto"/>
        </w:rPr>
      </w:pPr>
    </w:p>
    <w:p>
      <w:pPr>
        <w:ind w:left="12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with the market value of Altira Macau significantly decreased as a result of a change in its forecasted performance given the latest market conditions and lingering disruptions to the business caused by COVID-19 and the Company’s earlier cessation of arrangements with gaming promoters in Macau, the Company recognized an impairment of long-lived assets in relation to Altira Macau of $207,608, which was recognized and included in property charges and other in the accompanying consolidated statements of operations. Such amount included the impairment of Altira Macau’s property and equipment of $110,033, and the full impairment of the finite-lived intangible assets, land use rights and operating lease right-of-use assets for Altira Macau of $30,435, $65,172 and $1,968, respectively.</w:t>
      </w:r>
    </w:p>
    <w:p>
      <w:pPr>
        <w:spacing w:after="0" w:line="68" w:lineRule="exact"/>
        <w:rPr>
          <w:rFonts w:ascii="Times New Roman" w:cs="Times New Roman" w:eastAsia="Times New Roman" w:hAnsi="Times New Roman"/>
          <w:sz w:val="17"/>
          <w:szCs w:val="17"/>
          <w:color w:val="auto"/>
        </w:rPr>
      </w:pPr>
    </w:p>
    <w:p>
      <w:pPr>
        <w:ind w:left="1260" w:right="2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years ended December 31, 2025 and 2024, the performance of Altira Macau had not improved and a further impairment of long-lived assets of $4,145 and $3,316, respectively, were recognized and included in property charges and other in the accompanying consolidated statements of operations, which included impairment of Altira Macau’s property and equipment of $4,073 and $3,120, and the full impairment of the finite-lived intangible assets for Altira Macau of $72 and $196, for the respective year. The fair values of the long-lived assets of Altira Macau were estimated by using level 3 inputs based on a combination of income and cost approaches and the discount rates adopted in the income approach for the years ended December 31, 2025, 2024 and 2023 were 14.0%, 12.6% and 12.3%, respectively.</w:t>
      </w:r>
    </w:p>
    <w:p>
      <w:pPr>
        <w:spacing w:after="0" w:line="79"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Deferred Financing Costs</w:t>
      </w:r>
    </w:p>
    <w:p>
      <w:pPr>
        <w:spacing w:after="0" w:line="120"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0920"/>
          </w:cols>
          <w:pgMar w:left="320" w:top="472" w:right="6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Deferred Financing Costs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2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balance sheets, based on the maturity of each revolving credit facility. All other deferred financing costs are presented as a reduction of long-term debt in the accompanying consolidated balance sheets.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Land Use Rights</w:t>
      </w:r>
    </w:p>
    <w:p>
      <w:pPr>
        <w:spacing w:after="0" w:line="120" w:lineRule="exact"/>
        <w:rPr>
          <w:rFonts w:ascii="Times New Roman" w:cs="Times New Roman" w:eastAsia="Times New Roman" w:hAnsi="Times New Roman"/>
          <w:sz w:val="17"/>
          <w:szCs w:val="17"/>
          <w:color w:val="auto"/>
        </w:rPr>
      </w:pPr>
    </w:p>
    <w:p>
      <w:pPr>
        <w:ind w:left="126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 use rights represent the upfront land premiums paid for the use of land held under operating leases, which are stated at cost, net of accumulated amortization, and accumulated impairment, if any. Amortization is recognized over the estimated term of the land use rights of 40 years on a straight-line basis. During the year ended December 31, 2023, land use right for Altira Macau was fully impaired, as part of the impairment of long-lived assets as described in Note 2(l). No impairment on land use rights was recognized during the years ended December 31, 2025 and 2024.</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Leases</w:t>
      </w:r>
    </w:p>
    <w:p>
      <w:pPr>
        <w:spacing w:after="0" w:line="120" w:lineRule="exact"/>
        <w:rPr>
          <w:rFonts w:ascii="Times New Roman" w:cs="Times New Roman" w:eastAsia="Times New Roman" w:hAnsi="Times New Roman"/>
          <w:sz w:val="17"/>
          <w:szCs w:val="17"/>
          <w:color w:val="auto"/>
        </w:rPr>
      </w:pPr>
    </w:p>
    <w:p>
      <w:pPr>
        <w:ind w:left="1260" w:right="2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64"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and 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70" w:lineRule="exact"/>
        <w:rPr>
          <w:rFonts w:ascii="Times New Roman" w:cs="Times New Roman" w:eastAsia="Times New Roman" w:hAnsi="Times New Roman"/>
          <w:sz w:val="17"/>
          <w:szCs w:val="17"/>
          <w:color w:val="auto"/>
        </w:rPr>
      </w:pPr>
    </w:p>
    <w:p>
      <w:pPr>
        <w:ind w:left="1260" w:right="1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the lease components and non-lease components are accounted for separately.</w:t>
      </w:r>
    </w:p>
    <w:p>
      <w:pPr>
        <w:spacing w:after="0" w:line="57" w:lineRule="exact"/>
        <w:rPr>
          <w:rFonts w:ascii="Times New Roman" w:cs="Times New Roman" w:eastAsia="Times New Roman" w:hAnsi="Times New Roman"/>
          <w:sz w:val="17"/>
          <w:szCs w:val="17"/>
          <w:color w:val="auto"/>
        </w:rPr>
      </w:pPr>
    </w:p>
    <w:p>
      <w:pPr>
        <w:ind w:left="1260" w:right="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operating lease right-of-use assets for Altira Macau were fully impaired, as part of the impairment of long-lived assets as described in Note 2(l). No impairment on operating lease right-of-use assets was recognized during the years ended December 31, 2025 and 2024.</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p>
    <w:p>
      <w:pPr>
        <w:spacing w:after="0" w:line="120" w:lineRule="exact"/>
        <w:rPr>
          <w:rFonts w:ascii="Times New Roman" w:cs="Times New Roman" w:eastAsia="Times New Roman" w:hAnsi="Times New Roman"/>
          <w:sz w:val="17"/>
          <w:szCs w:val="17"/>
          <w:color w:val="auto"/>
        </w:rPr>
      </w:pPr>
    </w:p>
    <w:p>
      <w:pPr>
        <w:ind w:left="1260" w:right="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revenues from contracts with customers consist of casino wagers, sales of rooms, food and beverage, entertainment, retail and other goods and services.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0940"/>
          </w:cols>
          <w:pgMar w:left="320" w:top="472" w:right="6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14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casino revenues are measured by the aggregate net difference between gaming wins and losses. The Company accounts for its casino wagering transactions on a portfolio basis versus an individual basis as all wagers have similar characteristics. Commissions rebated to customers and gaming promoters, cash discounts and other cash incentives earned by customers are recorded as reductions of casino revenues. In addition to the wagers, casino transactions typically include performance obligations related to complimentary goods or services provided to incentivize future gaming or in exchange for incentives or points earned under the Company’s non-discretionary incentive programs (including loyalty programs).</w:t>
      </w:r>
    </w:p>
    <w:p>
      <w:pPr>
        <w:spacing w:after="0" w:line="68" w:lineRule="exact"/>
        <w:rPr>
          <w:rFonts w:ascii="Times New Roman" w:cs="Times New Roman" w:eastAsia="Times New Roman" w:hAnsi="Times New Roman"/>
          <w:sz w:val="17"/>
          <w:szCs w:val="17"/>
          <w:color w:val="auto"/>
        </w:rPr>
      </w:pPr>
    </w:p>
    <w:p>
      <w:pPr>
        <w:ind w:left="1260" w:right="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operating expenses.</w:t>
      </w:r>
    </w:p>
    <w:p>
      <w:pPr>
        <w:spacing w:after="0" w:line="64"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operates different non-discretionary incentive programs in certain of its properties which include loyalty programs (the “Loyalty Programs”) to encourage repeat business mainly from loyal slot machine customers and table games patrons. Customers earn points primarily based on gaming activity and such points can be redeemed for free play and other free goods and services. For casino transactions that include points earned under the Loyalty Programs, the Company defers a portion of the revenue by recording the estimated standalone selling prices of the earned points that are expected to be redeemed as a liability. 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70" w:lineRule="exact"/>
        <w:rPr>
          <w:rFonts w:ascii="Times New Roman" w:cs="Times New Roman" w:eastAsia="Times New Roman" w:hAnsi="Times New Roman"/>
          <w:sz w:val="17"/>
          <w:szCs w:val="17"/>
          <w:color w:val="auto"/>
        </w:rPr>
      </w:pPr>
    </w:p>
    <w:p>
      <w:pPr>
        <w:ind w:left="1260" w:right="5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allocating amounts to the complimentary goods or services provided and to the points earned under the Loyalty Programs, the residual amount is recorded as casino revenue when the wagers are settled.</w:t>
      </w:r>
    </w:p>
    <w:p>
      <w:pPr>
        <w:spacing w:after="0" w:line="42"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follows the accounting standards for reporting revenue gross as a principal versus net as an agent, when accounting for the operations of two of its externally managed hotels and concluded that it is the controlling entity and is the principal to these arrangements. For the operations of these two externally managed hotels, as the Company is the owner of the hotel properties, the hotel managers operate the respective hotels under management agreements providing management services to the Company, and the Company receives all rewards and takes substantial risks associated with the hotel businesses. The Company is the principal and the transactions are, therefore, recognized on a gross basis. When accounting for the operation of the Nüwa Sri Lanka, the subsidiary of Melco Resorts operates as a hotel manager under a management agreement which is not considered as the controlling entity, but an agent and the transactions are, therefore, recognized on a net basis.</w:t>
      </w:r>
    </w:p>
    <w:p>
      <w:pPr>
        <w:spacing w:after="0" w:line="70" w:lineRule="exact"/>
        <w:rPr>
          <w:rFonts w:ascii="Times New Roman" w:cs="Times New Roman" w:eastAsia="Times New Roman" w:hAnsi="Times New Roman"/>
          <w:sz w:val="17"/>
          <w:szCs w:val="17"/>
          <w:color w:val="auto"/>
        </w:rPr>
      </w:pPr>
    </w:p>
    <w:p>
      <w:pPr>
        <w:ind w:left="1260" w:right="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convention space and advance ticket sales are recorded as customer deposits until services are</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940"/>
          </w:cols>
          <w:pgMar w:left="320" w:top="472" w:right="6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1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to the customers. Revenues from contracts with multiple goods or services provided by the Company are allocated to each good or service based on its relative standalone selling price.</w:t>
      </w:r>
    </w:p>
    <w:p>
      <w:pPr>
        <w:spacing w:after="0" w:line="42" w:lineRule="exact"/>
        <w:rPr>
          <w:rFonts w:ascii="Times New Roman" w:cs="Times New Roman" w:eastAsia="Times New Roman" w:hAnsi="Times New Roman"/>
          <w:sz w:val="17"/>
          <w:szCs w:val="17"/>
          <w:color w:val="auto"/>
        </w:rPr>
      </w:pPr>
    </w:p>
    <w:p>
      <w:pPr>
        <w:ind w:left="1260" w:right="1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operating and right to use fees representing lease revenues, adjusted for contractual base fees and operating fee escalations, are included in other revenues and are recognized over the terms of the related agreements on a straight-line basis. Sales-type lease income is included in other revenues and is recognized on an effective interest rate basis at a constant rate of return over the term of the applicable leases using the rate implicit in the leases.</w:t>
      </w:r>
    </w:p>
    <w:p>
      <w:pPr>
        <w:spacing w:after="0" w:line="64" w:lineRule="exact"/>
        <w:rPr>
          <w:rFonts w:ascii="Times New Roman" w:cs="Times New Roman" w:eastAsia="Times New Roman" w:hAnsi="Times New Roman"/>
          <w:sz w:val="17"/>
          <w:szCs w:val="17"/>
          <w:color w:val="auto"/>
        </w:rPr>
      </w:pPr>
    </w:p>
    <w:p>
      <w:pPr>
        <w:ind w:left="12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hotel property that the Company acts as the hotel manager but not the controlling entity, the Company has performance obligations to provide hotel management services to the owner of the hotel property, and is entitled to receive quarterly base management fees which are a percentage of the revenues of the hotel, and quarterly incentive management fees which are based on a measure of hotel profitability. These fees are variable consideration, as the transaction price is based on percentages of revenue or profit, as defined in the agreements. Base management fees are recognized over the term of the agreement as the hotel revenues occur and incentive management fees are recognized over the term of the agreement based on hotel’s financial results, provided that there is no expectation of a subsequent significant reversal due to projected future hotel performance. Both base management and incentive management fees are included in other revenues. The Company is also entitled to be reimbursed quarterly for costs incurred by the Company in providing certain administrative and support services to the hotel operation, with no added mark-up. These reimbursements are included in other revenues and recognized over the period the cost incur.</w:t>
      </w:r>
    </w:p>
    <w:p>
      <w:pPr>
        <w:spacing w:after="0" w:line="282" w:lineRule="exact"/>
        <w:rPr>
          <w:rFonts w:ascii="Times New Roman" w:cs="Times New Roman" w:eastAsia="Times New Roman" w:hAnsi="Times New Roman"/>
          <w:sz w:val="17"/>
          <w:szCs w:val="17"/>
          <w:color w:val="auto"/>
        </w:rPr>
      </w:pPr>
    </w:p>
    <w:p>
      <w:pPr>
        <w:jc w:val="both"/>
        <w:ind w:left="1260" w:right="1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fees income earned by the Company in granting a third party use of certain Company-owned trademarks in the branding of an integrated resort, which represent a percentage of certain revenues of the integrated resort, are included in other revenues and recognized over the term of the agreement as services are provided.</w:t>
      </w:r>
    </w:p>
    <w:p>
      <w:pPr>
        <w:spacing w:after="0" w:line="55"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 and Contract-Related Liabilities</w:t>
      </w:r>
    </w:p>
    <w:p>
      <w:pPr>
        <w:spacing w:after="0" w:line="120" w:lineRule="exact"/>
        <w:rPr>
          <w:rFonts w:ascii="Times New Roman" w:cs="Times New Roman" w:eastAsia="Times New Roman" w:hAnsi="Times New Roman"/>
          <w:sz w:val="17"/>
          <w:szCs w:val="17"/>
          <w:color w:val="auto"/>
        </w:rPr>
      </w:pPr>
    </w:p>
    <w:p>
      <w:pPr>
        <w:ind w:left="1260" w:right="1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providing goods and services to customers, there may be a timing difference between cash receipts from customers and recognition of revenues, resulting in a contract or contract-related liability.</w:t>
      </w:r>
    </w:p>
    <w:p>
      <w:pPr>
        <w:spacing w:after="0" w:line="42" w:lineRule="exact"/>
        <w:rPr>
          <w:rFonts w:ascii="Times New Roman" w:cs="Times New Roman" w:eastAsia="Times New Roman" w:hAnsi="Times New Roman"/>
          <w:sz w:val="17"/>
          <w:szCs w:val="17"/>
          <w:color w:val="auto"/>
        </w:rPr>
      </w:pPr>
    </w:p>
    <w:p>
      <w:pPr>
        <w:ind w:left="12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primarily has three types of liabilities related to contracts with customers: (1) outstanding gaming chips, which represent the amounts owed in exchange for gaming chips held by customers and gaming promoters, (2) loyalty program liabilities, which represent the deferred allocation of revenues relating to incentives earned from the Loyalty Programs, and (3) advance deposits and ticket sales, which represent casino front money deposits that are funds deposited by customers and gaming promoters before gaming play occurs and advance payments on goods and services yet to be provided such as advance ticket sales and deposits on rooms and convention space. These liabilities are generally expected to be recognized as revenues within one year of being purchased, earned or deposited and are recorded as accrued expenses and other current liabilities in the accompanying consolidated balance sheets. Decreases in these balances generally represent the recognition of revenues and increases in the balances represent additional chips held by customers and gaming promoters, increases in unredeemed incentives relating to the Loyalty Programs and additional deposits made by customers and gaming promoters.</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940"/>
          </w:cols>
          <w:pgMar w:left="320" w:top="472" w:right="6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 and Contract-Related Liabilities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summarizes the activities related to contract and contract-related liabilities:</w:t>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8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color w:val="auto"/>
              </w:rPr>
              <w:t>Outstanding Gaming Chips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Loyalty Program Liabilities</w:t>
            </w:r>
          </w:p>
        </w:tc>
        <w:tc>
          <w:tcPr>
            <w:tcW w:w="120" w:type="dxa"/>
            <w:vAlign w:val="bottom"/>
          </w:tcPr>
          <w:p>
            <w:pPr>
              <w:spacing w:after="0"/>
              <w:rPr>
                <w:sz w:val="13"/>
                <w:szCs w:val="13"/>
                <w:color w:val="auto"/>
              </w:rPr>
            </w:pPr>
          </w:p>
        </w:tc>
        <w:tc>
          <w:tcPr>
            <w:tcW w:w="17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color w:val="auto"/>
                <w:w w:val="99"/>
              </w:rPr>
              <w:t>Advance Deposits and</w:t>
            </w: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w w:val="98"/>
              </w:rPr>
              <w:t>Ticket Sales</w:t>
            </w:r>
          </w:p>
        </w:tc>
        <w:tc>
          <w:tcPr>
            <w:tcW w:w="0" w:type="dxa"/>
            <w:vAlign w:val="bottom"/>
          </w:tcPr>
          <w:p>
            <w:pPr>
              <w:spacing w:after="0"/>
              <w:rPr>
                <w:sz w:val="1"/>
                <w:szCs w:val="1"/>
                <w:color w:val="auto"/>
              </w:rPr>
            </w:pPr>
          </w:p>
        </w:tc>
      </w:tr>
      <w:tr>
        <w:trPr>
          <w:trHeight w:val="137"/>
        </w:trPr>
        <w:tc>
          <w:tcPr>
            <w:tcW w:w="284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2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2"/>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7"/>
              <w:spacing w:after="0" w:line="137"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253,338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250,955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39,108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Taxes and License Fees</w:t>
      </w:r>
    </w:p>
    <w:p>
      <w:pPr>
        <w:spacing w:after="0" w:line="120" w:lineRule="exact"/>
        <w:rPr>
          <w:rFonts w:ascii="Times New Roman" w:cs="Times New Roman" w:eastAsia="Times New Roman" w:hAnsi="Times New Roman"/>
          <w:sz w:val="17"/>
          <w:szCs w:val="17"/>
          <w:color w:val="auto"/>
        </w:rPr>
      </w:pPr>
    </w:p>
    <w:p>
      <w:pPr>
        <w:ind w:left="12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taxes and license fees based on gross gaming revenue and other metrics in the jurisdictions in which it operates, subject to applicable jurisdictional adjustments. These gaming taxes and license fees (including the Cyprus License Fee (as defined in Note 6) prior to the fulfillment of certain terms under the Cyprus License on June 28, 2023), totaled $2,000,194, $1,818,235 and $1,489,755 for the years ended December 31, 2025, 2024 and 2023, respectively, are mainly recognized as casino expense in the accompanying consolidated statements of operations.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Pre-opening Costs</w:t>
      </w:r>
    </w:p>
    <w:p>
      <w:pPr>
        <w:spacing w:after="0" w:line="120" w:lineRule="exact"/>
        <w:rPr>
          <w:rFonts w:ascii="Times New Roman" w:cs="Times New Roman" w:eastAsia="Times New Roman" w:hAnsi="Times New Roman"/>
          <w:sz w:val="17"/>
          <w:szCs w:val="17"/>
          <w:color w:val="auto"/>
        </w:rPr>
      </w:pPr>
    </w:p>
    <w:p>
      <w:pPr>
        <w:ind w:left="1260" w:right="28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represent personnel, marketing and other costs incurred prior to the opening of new or start-up operations and are expensed as incurred. During the years ended December 31, 2025 and 2024, the Company incurred pre-opening costs primarily in connection with the development of the Sri Lanka Casino and other enhancement projects at City of Dreams. During the year ended December 31, 2023, the Company incurred pre-opening costs primarily in connection with the development of Studio City Phase 2 and City of Dreams Mediterranean. The Company also incurs pre-opening costs on other one-off activities related to the marketing of new facilities and operations.</w:t>
      </w:r>
    </w:p>
    <w:p>
      <w:pPr>
        <w:spacing w:after="0" w:line="8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Development Costs</w:t>
      </w:r>
    </w:p>
    <w:p>
      <w:pPr>
        <w:spacing w:after="0" w:line="120" w:lineRule="exact"/>
        <w:rPr>
          <w:rFonts w:ascii="Times New Roman" w:cs="Times New Roman" w:eastAsia="Times New Roman" w:hAnsi="Times New Roman"/>
          <w:sz w:val="17"/>
          <w:szCs w:val="17"/>
          <w:color w:val="auto"/>
        </w:rPr>
      </w:pPr>
    </w:p>
    <w:p>
      <w:pPr>
        <w:ind w:left="1260" w:right="4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costs include the costs associated with the Company’s evaluation and pursuit of new business opportunities, which are expensed as incurred.</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Advertising and Promotional Costs</w:t>
      </w:r>
    </w:p>
    <w:p>
      <w:pPr>
        <w:spacing w:after="0" w:line="120" w:lineRule="exact"/>
        <w:rPr>
          <w:rFonts w:ascii="Times New Roman" w:cs="Times New Roman" w:eastAsia="Times New Roman" w:hAnsi="Times New Roman"/>
          <w:sz w:val="17"/>
          <w:szCs w:val="17"/>
          <w:color w:val="auto"/>
        </w:rPr>
      </w:pPr>
    </w:p>
    <w:p>
      <w:pPr>
        <w:ind w:left="1260" w:right="3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expenses advertising and promotional costs the first time the advertising takes place or as incurred. Advertising and promotional costs included in the accompanying consolidated statements of operations were $168,100, $165,299 and $100,245 for the years ended December 31, 2025, 2024 and 2023, respectively.</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 Income</w:t>
      </w:r>
    </w:p>
    <w:p>
      <w:pPr>
        <w:spacing w:after="0" w:line="120" w:lineRule="exact"/>
        <w:rPr>
          <w:rFonts w:ascii="Times New Roman" w:cs="Times New Roman" w:eastAsia="Times New Roman" w:hAnsi="Times New Roman"/>
          <w:sz w:val="17"/>
          <w:szCs w:val="17"/>
          <w:color w:val="auto"/>
        </w:rPr>
      </w:pPr>
    </w:p>
    <w:p>
      <w:pPr>
        <w:ind w:left="1260" w:right="8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is recorded on an accrual basis at the stated interest rate and is recorded in interest income in the accompanying consolidated statements of operations.</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0960"/>
          </w:cols>
          <w:pgMar w:left="320" w:top="472" w:right="6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Foreign Currency Transactions and Translations</w:t>
      </w:r>
    </w:p>
    <w:p>
      <w:pPr>
        <w:spacing w:after="0" w:line="120" w:lineRule="exact"/>
        <w:rPr>
          <w:rFonts w:ascii="Times New Roman" w:cs="Times New Roman" w:eastAsia="Times New Roman" w:hAnsi="Times New Roman"/>
          <w:sz w:val="17"/>
          <w:szCs w:val="17"/>
          <w:color w:val="auto"/>
        </w:rPr>
      </w:pPr>
    </w:p>
    <w:p>
      <w:pPr>
        <w:ind w:left="1260"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transactions in currencies other than functional currencies of Melco Resorts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64" w:lineRule="exact"/>
        <w:rPr>
          <w:rFonts w:ascii="Times New Roman" w:cs="Times New Roman" w:eastAsia="Times New Roman" w:hAnsi="Times New Roman"/>
          <w:sz w:val="17"/>
          <w:szCs w:val="17"/>
          <w:color w:val="auto"/>
        </w:rPr>
      </w:pPr>
    </w:p>
    <w:p>
      <w:pPr>
        <w:ind w:left="126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functional currency of Melco Resorts is the U.S. dollar (“$” or “US$”) and the functional currency of most of Melco Resorts’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income (loss).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Accounting for Derivative Instruments and Hedging Activities</w:t>
      </w:r>
    </w:p>
    <w:p>
      <w:pPr>
        <w:spacing w:after="0" w:line="120" w:lineRule="exact"/>
        <w:rPr>
          <w:rFonts w:ascii="Times New Roman" w:cs="Times New Roman" w:eastAsia="Times New Roman" w:hAnsi="Times New Roman"/>
          <w:sz w:val="17"/>
          <w:szCs w:val="17"/>
          <w:color w:val="auto"/>
        </w:rPr>
      </w:pPr>
    </w:p>
    <w:p>
      <w:pPr>
        <w:ind w:left="1260"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uses derivative financial instruments such as floating-for-fixed interest rate swap and cross-currency swap arrangements to manage its risks associated with interest rate fluctuations in accordance with lenders’ requirements under the MN1 2020 Revolving Facilities as defined in Note 10 and exchange rate fluctuations for the outstanding US$ denominated 2033 MRF Senior Notes as defined in Note 10. All derivative instruments are recognized in the consolidated financial statements at fair value at the balance sheet date. Any changes in fair value are recorded in the consolidated statements of operations or comprehensive income (loss), depending on whether the derivative is designated and qualifies for hedge accounting, the type of hedge transaction and the effectiveness of the hedge. There are no credit-risk-related contingent features in our derivative agreements.</w:t>
      </w:r>
    </w:p>
    <w:p>
      <w:pPr>
        <w:spacing w:after="0" w:line="68" w:lineRule="exact"/>
        <w:rPr>
          <w:rFonts w:ascii="Times New Roman" w:cs="Times New Roman" w:eastAsia="Times New Roman" w:hAnsi="Times New Roman"/>
          <w:sz w:val="17"/>
          <w:szCs w:val="17"/>
          <w:color w:val="auto"/>
        </w:rPr>
      </w:pPr>
    </w:p>
    <w:p>
      <w:pPr>
        <w:ind w:left="1260" w:right="6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information on the Company’s interest rate swap and cross-currency swap arrangements is included in Note 9 and Note 10 respectively.</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Comprehensive Income (Loss) and Accumulated Other Comprehensive Losses</w:t>
      </w:r>
    </w:p>
    <w:p>
      <w:pPr>
        <w:spacing w:after="0" w:line="120" w:lineRule="exact"/>
        <w:rPr>
          <w:rFonts w:ascii="Times New Roman" w:cs="Times New Roman" w:eastAsia="Times New Roman" w:hAnsi="Times New Roman"/>
          <w:sz w:val="17"/>
          <w:szCs w:val="17"/>
          <w:color w:val="auto"/>
        </w:rPr>
      </w:pPr>
    </w:p>
    <w:p>
      <w:pPr>
        <w:ind w:left="1260" w:right="2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income (loss) includes net income (loss) and other non-shareholder changes in equity, or other comprehensive income (loss). Components of the Company’s comprehensive income (loss) are reported in the accompanying consolidated statements of deficit and consolidated statements of comprehensive income (loss).</w:t>
      </w:r>
    </w:p>
    <w:p>
      <w:pPr>
        <w:spacing w:after="0" w:line="57" w:lineRule="exact"/>
        <w:rPr>
          <w:rFonts w:ascii="Times New Roman" w:cs="Times New Roman" w:eastAsia="Times New Roman" w:hAnsi="Times New Roman"/>
          <w:sz w:val="17"/>
          <w:szCs w:val="17"/>
          <w:color w:val="auto"/>
        </w:rPr>
      </w:pPr>
    </w:p>
    <w:p>
      <w:pPr>
        <w:ind w:left="1260" w:right="1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and 2024, the Company’s accumulated other comprehensive losses consisted of the following components, net of noncontrolling interests: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78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7"/>
                <w:szCs w:val="17"/>
                <w:color w:val="auto"/>
              </w:rPr>
            </w:pPr>
          </w:p>
        </w:tc>
      </w:tr>
      <w:tr>
        <w:trPr>
          <w:trHeight w:val="20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(92,658)</w:t>
            </w:r>
          </w:p>
        </w:tc>
        <w:tc>
          <w:tcPr>
            <w:tcW w:w="100" w:type="dxa"/>
            <w:vAlign w:val="bottom"/>
            <w:shd w:val="clear" w:color="auto" w:fill="CCEEFF"/>
          </w:tcPr>
          <w:p>
            <w:pPr>
              <w:spacing w:after="0"/>
              <w:rPr>
                <w:sz w:val="17"/>
                <w:szCs w:val="17"/>
                <w:color w:val="auto"/>
              </w:rPr>
            </w:pPr>
          </w:p>
        </w:tc>
      </w:tr>
      <w:tr>
        <w:trPr>
          <w:trHeight w:val="191"/>
        </w:trPr>
        <w:tc>
          <w:tcPr>
            <w:tcW w:w="37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Change in fair value of interest rate swaps, net</w:t>
            </w:r>
            <w:r>
              <w:rPr>
                <w:rFonts w:ascii="Times New Roman" w:cs="Times New Roman" w:eastAsia="Times New Roman" w:hAnsi="Times New Roman"/>
                <w:sz w:val="21"/>
                <w:szCs w:val="21"/>
                <w:color w:val="auto"/>
                <w:vertAlign w:val="superscript"/>
              </w:rPr>
              <w:t>(1)</w:t>
            </w: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598"/>
              <w:spacing w:after="0" w:line="191" w:lineRule="exact"/>
              <w:rPr>
                <w:sz w:val="20"/>
                <w:szCs w:val="20"/>
                <w:color w:val="auto"/>
              </w:rPr>
            </w:pPr>
            <w:r>
              <w:rPr>
                <w:rFonts w:ascii="Times New Roman" w:cs="Times New Roman" w:eastAsia="Times New Roman" w:hAnsi="Times New Roman"/>
                <w:sz w:val="17"/>
                <w:szCs w:val="17"/>
                <w:color w:val="auto"/>
              </w:rPr>
              <w:t xml:space="preserve">        </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98"/>
              <w:spacing w:after="0"/>
              <w:rPr>
                <w:sz w:val="20"/>
                <w:szCs w:val="20"/>
                <w:color w:val="auto"/>
              </w:rPr>
            </w:pPr>
            <w:r>
              <w:rPr>
                <w:rFonts w:ascii="Times New Roman" w:cs="Times New Roman" w:eastAsia="Times New Roman" w:hAnsi="Times New Roman"/>
                <w:sz w:val="17"/>
                <w:szCs w:val="17"/>
                <w:color w:val="auto"/>
              </w:rPr>
              <w:t>(731)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7"/>
                <w:szCs w:val="17"/>
                <w:color w:val="auto"/>
              </w:rPr>
              <w:t>(2,680)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(3,092)</w:t>
            </w:r>
          </w:p>
        </w:tc>
      </w:tr>
      <w:tr>
        <w:trPr>
          <w:trHeight w:val="215"/>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3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(63,712</w:t>
            </w:r>
          </w:p>
        </w:tc>
        <w:tc>
          <w:tcPr>
            <w:tcW w:w="6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(95,750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7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780" w:type="dxa"/>
            <w:vAlign w:val="bottom"/>
          </w:tcPr>
          <w:p>
            <w:pPr>
              <w:spacing w:after="0"/>
              <w:rPr>
                <w:sz w:val="24"/>
                <w:szCs w:val="24"/>
                <w:color w:val="auto"/>
              </w:rPr>
            </w:pPr>
          </w:p>
        </w:tc>
        <w:tc>
          <w:tcPr>
            <w:tcW w:w="3600" w:type="dxa"/>
            <w:vAlign w:val="bottom"/>
            <w:gridSpan w:val="2"/>
          </w:tcPr>
          <w:p>
            <w:pPr>
              <w:jc w:val="right"/>
              <w:ind w:right="2773"/>
              <w:spacing w:after="0"/>
              <w:rPr>
                <w:sz w:val="20"/>
                <w:szCs w:val="20"/>
                <w:color w:val="auto"/>
              </w:rPr>
            </w:pPr>
            <w:r>
              <w:rPr>
                <w:rFonts w:ascii="Times New Roman" w:cs="Times New Roman" w:eastAsia="Times New Roman" w:hAnsi="Times New Roman"/>
                <w:sz w:val="17"/>
                <w:szCs w:val="17"/>
                <w:color w:val="auto"/>
              </w:rPr>
              <w:t>F-25</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Comprehensive Income (Loss) and Accumulated Other Comprehensive Losses</w:t>
      </w:r>
      <w:r>
        <w:rPr>
          <w:rFonts w:ascii="Times New Roman" w:cs="Times New Roman" w:eastAsia="Times New Roman" w:hAnsi="Times New Roman"/>
          <w:sz w:val="17"/>
          <w:szCs w:val="17"/>
          <w:color w:val="auto"/>
        </w:rPr>
        <w:t xml:space="preserve"> - continued</w:t>
      </w:r>
    </w:p>
    <w:p>
      <w:pPr>
        <w:spacing w:after="0" w:line="137" w:lineRule="exact"/>
        <w:rPr>
          <w:rFonts w:ascii="Times New Roman" w:cs="Times New Roman" w:eastAsia="Times New Roman" w:hAnsi="Times New Roman"/>
          <w:sz w:val="17"/>
          <w:szCs w:val="17"/>
          <w:color w:val="auto"/>
        </w:rPr>
      </w:pPr>
    </w:p>
    <w:p>
      <w:pPr>
        <w:ind w:left="1660" w:right="500" w:hanging="414"/>
        <w:spacing w:after="0" w:line="281" w:lineRule="auto"/>
        <w:tabs>
          <w:tab w:leader="none" w:pos="1660" w:val="left"/>
        </w:tabs>
        <w:numPr>
          <w:ilvl w:val="2"/>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presents the net changes in accumulated other comprehensive losses associated with each year’s hedging activities from interest rate swaps designated as cash flow hedges.</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2"/>
        </w:trPr>
        <w:tc>
          <w:tcPr>
            <w:tcW w:w="6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Borders>
              <w:bottom w:val="single" w:sz="8" w:color="CCEEFF"/>
            </w:tcBorders>
          </w:tcPr>
          <w:p>
            <w:pPr>
              <w:spacing w:after="0"/>
              <w:rPr>
                <w:sz w:val="16"/>
                <w:szCs w:val="16"/>
                <w:color w:val="auto"/>
              </w:rPr>
            </w:pPr>
          </w:p>
        </w:tc>
      </w:tr>
      <w:tr>
        <w:trPr>
          <w:trHeight w:val="18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interest rate swaps, net as of January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— </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— </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— </w:t>
            </w:r>
          </w:p>
        </w:tc>
        <w:tc>
          <w:tcPr>
            <w:tcW w:w="60" w:type="dxa"/>
            <w:vAlign w:val="bottom"/>
            <w:shd w:val="clear" w:color="auto" w:fill="CCEEFF"/>
          </w:tcPr>
          <w:p>
            <w:pPr>
              <w:spacing w:after="0"/>
              <w:rPr>
                <w:sz w:val="16"/>
                <w:szCs w:val="16"/>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during the year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r>
      <w:tr>
        <w:trPr>
          <w:trHeight w:val="19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reclassified from accumulated other comprehensive losses into earnings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r>
      <w:tr>
        <w:trPr>
          <w:trHeight w:val="19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interest rate swaps, net as of December 31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Share-based Compensation Expenses</w:t>
      </w:r>
    </w:p>
    <w:p>
      <w:pPr>
        <w:spacing w:after="0" w:line="120" w:lineRule="exact"/>
        <w:rPr>
          <w:rFonts w:ascii="Times New Roman" w:cs="Times New Roman" w:eastAsia="Times New Roman" w:hAnsi="Times New Roman"/>
          <w:sz w:val="17"/>
          <w:szCs w:val="17"/>
          <w:color w:val="auto"/>
        </w:rPr>
      </w:pPr>
    </w:p>
    <w:p>
      <w:pPr>
        <w:ind w:left="1260" w:right="4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measures the cost of employee services received in exchange for an award of equity instruments based on the grant date fair value of the award and recognizes that cost over the service period. Compensation is attributed to the periods of associated service and such expense is recognized over the vesting period of the awards on a straight-line basis. Forfeitures are recognized when they occur. Further information on the Company’s share-based compensation arrangements is included in Note 15.</w:t>
      </w:r>
    </w:p>
    <w:p>
      <w:pPr>
        <w:spacing w:after="0" w:line="4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Income Tax</w:t>
      </w:r>
    </w:p>
    <w:p>
      <w:pPr>
        <w:spacing w:after="0" w:line="120" w:lineRule="exact"/>
        <w:rPr>
          <w:rFonts w:ascii="Times New Roman" w:cs="Times New Roman" w:eastAsia="Times New Roman" w:hAnsi="Times New Roman"/>
          <w:sz w:val="17"/>
          <w:szCs w:val="17"/>
          <w:color w:val="auto"/>
        </w:rPr>
      </w:pPr>
    </w:p>
    <w:p>
      <w:pPr>
        <w:ind w:left="1260" w:right="5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income taxes in Macau, Hong Kong, the Philippines, Cyprus, Sri Lanka and other jurisdictions where it operates.</w:t>
      </w:r>
    </w:p>
    <w:p>
      <w:pPr>
        <w:spacing w:after="0" w:line="42" w:lineRule="exact"/>
        <w:rPr>
          <w:rFonts w:ascii="Times New Roman" w:cs="Times New Roman" w:eastAsia="Times New Roman" w:hAnsi="Times New Roman"/>
          <w:sz w:val="17"/>
          <w:szCs w:val="17"/>
          <w:color w:val="auto"/>
        </w:rPr>
      </w:pPr>
    </w:p>
    <w:p>
      <w:pPr>
        <w:ind w:left="1260" w:right="1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64" w:lineRule="exact"/>
        <w:rPr>
          <w:rFonts w:ascii="Times New Roman" w:cs="Times New Roman" w:eastAsia="Times New Roman" w:hAnsi="Times New Roman"/>
          <w:sz w:val="17"/>
          <w:szCs w:val="17"/>
          <w:color w:val="auto"/>
        </w:rPr>
      </w:pPr>
    </w:p>
    <w:p>
      <w:pPr>
        <w:ind w:left="1260" w:right="10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80" w:lineRule="exact"/>
        <w:rPr>
          <w:sz w:val="20"/>
          <w:szCs w:val="20"/>
          <w:color w:val="auto"/>
        </w:rPr>
      </w:pPr>
    </w:p>
    <w:p>
      <w:pPr>
        <w:ind w:left="1240" w:hanging="530"/>
        <w:spacing w:after="0"/>
        <w:tabs>
          <w:tab w:leader="none" w:pos="12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Income (Loss) Attributable to Melco Resorts &amp; Entertainment Limited Per Share</w:t>
      </w:r>
    </w:p>
    <w:p>
      <w:pPr>
        <w:spacing w:after="0" w:line="120" w:lineRule="exact"/>
        <w:rPr>
          <w:rFonts w:ascii="Times New Roman" w:cs="Times New Roman" w:eastAsia="Times New Roman" w:hAnsi="Times New Roman"/>
          <w:sz w:val="17"/>
          <w:szCs w:val="17"/>
          <w:color w:val="auto"/>
        </w:rPr>
      </w:pPr>
    </w:p>
    <w:p>
      <w:pPr>
        <w:jc w:val="both"/>
        <w:ind w:left="1260" w:right="2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net income (loss) attributable to Melco Resorts &amp; Entertainment Limited per share is calculated by dividing the net income (loss) attributable to Melco Resorts &amp; Entertainment Limited by the weighted average number of ordinary shares outstanding during the year.</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0960"/>
          </w:cols>
          <w:pgMar w:left="320" w:top="472" w:right="6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Income (Loss) Attributable to Melco Resorts &amp; Entertainment Limited Per Share</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1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Diluted net income (loss) attributable to Melco Resorts &amp; Entertainment Limited per share is calculated by dividing the net income (loss) attributable to Melco Resorts &amp; Entertainment Limited by the weighted average number of ordinary shares outstanding during the year adjusted to include the potentially dilutive effect of outstanding share-based awards.</w:t>
      </w:r>
    </w:p>
    <w:p>
      <w:pPr>
        <w:spacing w:after="0" w:line="57" w:lineRule="exact"/>
        <w:rPr>
          <w:rFonts w:ascii="Times New Roman" w:cs="Times New Roman" w:eastAsia="Times New Roman" w:hAnsi="Times New Roman"/>
          <w:sz w:val="17"/>
          <w:szCs w:val="17"/>
          <w:color w:val="auto"/>
        </w:rPr>
      </w:pPr>
    </w:p>
    <w:p>
      <w:pPr>
        <w:ind w:left="1260" w:right="3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number of ordinary and ordinary equivalent shares used in the calculation of basic and diluted net income (loss) attributable to Melco Resorts &amp; Entertainment Limited per share consisted of the following:</w:t>
      </w:r>
    </w:p>
    <w:p>
      <w:pPr>
        <w:spacing w:after="0" w:line="5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310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7"/>
                <w:szCs w:val="17"/>
                <w:color w:val="auto"/>
              </w:rPr>
              <w:t>Year Ended December 31,</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Weighted average number of ordinary shares outstanding used in the</w:t>
            </w: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calculation of basic net income (loss) attributable to Melco Resorts &amp;</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Entertainment Limited per share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1,193,982,891</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1,296,361,341</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1,314,605,173</w:t>
            </w: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Incremental weighted average number of ordinary shares from assumed</w:t>
            </w: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vesting of restricted shares and exercise of share options using the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7,902,332</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3,069,573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Weighted average number of ordinary shares outstanding used in the</w:t>
            </w: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calculation of diluted net income (loss) attributable to Melco Resorts &amp;</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Entertainment Limited per share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1,201,885,223</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1,299,430,914</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1,314,605,173</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Anti-dilutive share options and restricted shares excluded from the</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calculation of diluted net income (loss) attributable to Melco Resorts &amp;</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Entertainment Limited per share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12,835,178</w:t>
            </w: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19,537,045</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26,921,336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left="720"/>
        <w:spacing w:after="0"/>
        <w:tabs>
          <w:tab w:leader="none" w:pos="1220" w:val="left"/>
        </w:tabs>
        <w:rPr>
          <w:sz w:val="20"/>
          <w:szCs w:val="20"/>
          <w:color w:val="auto"/>
        </w:rPr>
      </w:pPr>
      <w:r>
        <w:rPr>
          <w:rFonts w:ascii="Times New Roman" w:cs="Times New Roman" w:eastAsia="Times New Roman" w:hAnsi="Times New Roman"/>
          <w:sz w:val="17"/>
          <w:szCs w:val="17"/>
          <w:color w:val="auto"/>
        </w:rPr>
        <w:t>(ab)</w:t>
      </w:r>
      <w:r>
        <w:rPr>
          <w:sz w:val="20"/>
          <w:szCs w:val="20"/>
          <w:color w:val="auto"/>
        </w:rPr>
        <w:tab/>
      </w:r>
      <w:r>
        <w:rPr>
          <w:rFonts w:ascii="Times New Roman" w:cs="Times New Roman" w:eastAsia="Times New Roman" w:hAnsi="Times New Roman"/>
          <w:sz w:val="17"/>
          <w:szCs w:val="17"/>
          <w:b w:val="1"/>
          <w:bCs w:val="1"/>
          <w:color w:val="auto"/>
        </w:rPr>
        <w:t>Recent Changes in Accounting Standards</w:t>
      </w:r>
    </w:p>
    <w:p>
      <w:pPr>
        <w:spacing w:after="0" w:line="118" w:lineRule="exact"/>
        <w:rPr>
          <w:sz w:val="20"/>
          <w:szCs w:val="20"/>
          <w:color w:val="auto"/>
        </w:rPr>
      </w:pPr>
    </w:p>
    <w:p>
      <w:pPr>
        <w:jc w:val="right"/>
        <w:ind w:right="6680"/>
        <w:spacing w:after="0"/>
        <w:rPr>
          <w:sz w:val="20"/>
          <w:szCs w:val="20"/>
          <w:color w:val="auto"/>
        </w:rPr>
      </w:pPr>
      <w:r>
        <w:rPr>
          <w:rFonts w:ascii="Times New Roman" w:cs="Times New Roman" w:eastAsia="Times New Roman" w:hAnsi="Times New Roman"/>
          <w:sz w:val="17"/>
          <w:szCs w:val="17"/>
          <w:i w:val="1"/>
          <w:iCs w:val="1"/>
          <w:color w:val="auto"/>
        </w:rPr>
        <w:t>Newly Adopted Accounting Pronouncement</w:t>
      </w:r>
    </w:p>
    <w:p>
      <w:pPr>
        <w:spacing w:after="0" w:line="120" w:lineRule="exact"/>
        <w:rPr>
          <w:sz w:val="20"/>
          <w:szCs w:val="20"/>
          <w:color w:val="auto"/>
        </w:rPr>
      </w:pPr>
    </w:p>
    <w:p>
      <w:pPr>
        <w:ind w:left="1260" w:right="40"/>
        <w:spacing w:after="0" w:line="264"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“Improvements to Income Tax Disclosures” which includes amendments that further enhance income tax disclosures, primarily through providing additional information in the rate reconciliation and additional disclosures about income taxes paid by jurisdiction. The Company adopted ASU 2023-09 prospectively for the year ended December 31, 2025. The adoption of this guidance did not have an effect on the Company’s financial position, results of operations and cash flows, noting the adoption resulted in additional disclosures only in the current annual period. Refer to Note 14 for the income tax disclosures.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Recent Accounting Pronouncements Not Yet Adopted</w:t>
      </w:r>
    </w:p>
    <w:p>
      <w:pPr>
        <w:spacing w:after="0" w:line="120" w:lineRule="exact"/>
        <w:rPr>
          <w:sz w:val="20"/>
          <w:szCs w:val="20"/>
          <w:color w:val="auto"/>
        </w:rPr>
      </w:pPr>
    </w:p>
    <w:p>
      <w:pPr>
        <w:ind w:left="1260" w:right="40"/>
        <w:spacing w:after="0" w:line="295"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960"/>
          </w:cols>
          <w:pgMar w:left="320" w:top="472" w:right="6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7"/>
          <w:szCs w:val="17"/>
          <w:color w:val="auto"/>
        </w:rPr>
        <w:t>(ab)</w:t>
      </w:r>
      <w:r>
        <w:rPr>
          <w:sz w:val="20"/>
          <w:szCs w:val="20"/>
          <w:color w:val="auto"/>
        </w:rPr>
        <w:tab/>
      </w:r>
      <w:r>
        <w:rPr>
          <w:rFonts w:ascii="Times New Roman" w:cs="Times New Roman" w:eastAsia="Times New Roman" w:hAnsi="Times New Roman"/>
          <w:sz w:val="17"/>
          <w:szCs w:val="17"/>
          <w:b w:val="1"/>
          <w:bCs w:val="1"/>
          <w:color w:val="auto"/>
        </w:rPr>
        <w:t>Recent Changes in Accounting Standards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Recent Accounting Pronouncements Not Yet Adopted</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1260" w:right="160"/>
        <w:spacing w:after="0" w:line="263" w:lineRule="auto"/>
        <w:rPr>
          <w:sz w:val="20"/>
          <w:szCs w:val="20"/>
          <w:color w:val="auto"/>
        </w:rPr>
      </w:pPr>
      <w:r>
        <w:rPr>
          <w:rFonts w:ascii="Times New Roman" w:cs="Times New Roman" w:eastAsia="Times New Roman" w:hAnsi="Times New Roman"/>
          <w:sz w:val="17"/>
          <w:szCs w:val="17"/>
          <w:color w:val="auto"/>
        </w:rPr>
        <w:t>Income Statement Expenses (“ASU 2024-03”), and in January 2025, the FASB issued ASU 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beginning after December 15, 2027, with early adoption permitted. This guidance will be applied either prospectively or retrospectively. The Company is currently evaluating the impact that the adoption of these standards will have on the Company’s consolidated financial statements and disclosures.</w:t>
      </w:r>
    </w:p>
    <w:p>
      <w:pPr>
        <w:spacing w:after="0" w:line="69" w:lineRule="exact"/>
        <w:rPr>
          <w:sz w:val="20"/>
          <w:szCs w:val="20"/>
          <w:color w:val="auto"/>
        </w:rPr>
      </w:pPr>
    </w:p>
    <w:p>
      <w:pPr>
        <w:ind w:left="1260" w:right="60"/>
        <w:spacing w:after="0" w:line="266"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Instruments—Credit Losses (Topic 326): Measurement of Credit Losses for Accounts Receivable and Contract Assets”. ASU 2025-05 provides a practical expedient related to the estimation of expected credit losses for current accounts receivable and current contract assets. ASU 2025-05 is effective for annual reporting periods beginning after December 15, 2025 and interim reporting periods within those annual reporting periods and should be applied prospectively. Early adoption is permitted, and the Company is currently assessing the impact of adoption.</w:t>
      </w:r>
    </w:p>
    <w:p>
      <w:pPr>
        <w:spacing w:after="0" w:line="67" w:lineRule="exact"/>
        <w:rPr>
          <w:sz w:val="20"/>
          <w:szCs w:val="20"/>
          <w:color w:val="auto"/>
        </w:rPr>
      </w:pPr>
    </w:p>
    <w:p>
      <w:pPr>
        <w:ind w:left="1260" w:right="200"/>
        <w:spacing w:after="0" w:line="266"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provides guidance to clarify and modernize the accounting for costs related to internal-use software. ASU2025-06 is effective for annual reporting periods beginning after December 15, 2027, including interim reporting periods within those annual reporting periods. Early adoption is permitted, and the Company is currently assessing the impact of adoption.</w:t>
      </w:r>
    </w:p>
    <w:p>
      <w:pPr>
        <w:spacing w:after="0" w:line="313" w:lineRule="exact"/>
        <w:rPr>
          <w:sz w:val="20"/>
          <w:szCs w:val="20"/>
          <w:color w:val="auto"/>
        </w:rPr>
      </w:pPr>
    </w:p>
    <w:p>
      <w:pPr>
        <w:ind w:left="720" w:hanging="428"/>
        <w:spacing w:after="0"/>
        <w:tabs>
          <w:tab w:leader="none" w:pos="72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CASH EQUIVALENTS AND RESTRICTED CASH</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cash equivalents and restricted cash reported within the accompanying consolidated statements of cash flows consisted of the following:</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CCEEFF"/>
            </w:tcBorders>
          </w:tcPr>
          <w:p>
            <w:pPr>
              <w:spacing w:after="0"/>
              <w:rPr>
                <w:sz w:val="17"/>
                <w:szCs w:val="17"/>
                <w:color w:val="auto"/>
              </w:rPr>
            </w:pPr>
          </w:p>
        </w:tc>
      </w:tr>
      <w:tr>
        <w:trPr>
          <w:trHeight w:val="20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908,754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969,353</w:t>
            </w:r>
          </w:p>
        </w:tc>
        <w:tc>
          <w:tcPr>
            <w:tcW w:w="60" w:type="dxa"/>
            <w:vAlign w:val="bottom"/>
            <w:shd w:val="clear" w:color="auto" w:fill="CCEEFF"/>
          </w:tcPr>
          <w:p>
            <w:pPr>
              <w:spacing w:after="0"/>
              <w:rPr>
                <w:sz w:val="17"/>
                <w:szCs w:val="17"/>
                <w:color w:val="auto"/>
              </w:rPr>
            </w:pP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114,445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177,840</w:t>
            </w:r>
          </w:p>
        </w:tc>
        <w:tc>
          <w:tcPr>
            <w:tcW w:w="60" w:type="dxa"/>
            <w:vAlign w:val="bottom"/>
          </w:tcPr>
          <w:p>
            <w:pPr>
              <w:spacing w:after="0"/>
              <w:rPr>
                <w:sz w:val="18"/>
                <w:szCs w:val="18"/>
                <w:color w:val="auto"/>
              </w:rPr>
            </w:pP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1,023,199</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1,147,193</w:t>
            </w:r>
          </w:p>
        </w:tc>
        <w:tc>
          <w:tcPr>
            <w:tcW w:w="60" w:type="dxa"/>
            <w:vAlign w:val="bottom"/>
            <w:shd w:val="clear" w:color="auto" w:fill="CCEEFF"/>
          </w:tcPr>
          <w:p>
            <w:pPr>
              <w:spacing w:after="0"/>
              <w:rPr>
                <w:sz w:val="18"/>
                <w:szCs w:val="18"/>
                <w:color w:val="auto"/>
              </w:rPr>
            </w:pP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restricted cash</w:t>
            </w: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368</w:t>
            </w:r>
          </w:p>
        </w:tc>
      </w:tr>
      <w:tr>
        <w:trPr>
          <w:trHeight w:val="209"/>
        </w:trPr>
        <w:tc>
          <w:tcPr>
            <w:tcW w:w="81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Non-current portion of restricted cash</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125,235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125,511</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1,148,434</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1,273,072</w:t>
            </w:r>
          </w:p>
        </w:tc>
        <w:tc>
          <w:tcPr>
            <w:tcW w:w="6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hanging="410"/>
        <w:spacing w:after="0"/>
        <w:tabs>
          <w:tab w:leader="none" w:pos="11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non-current portion of restricted cash included bank time deposits of $125,046 and $125,331, respectively.</w:t>
      </w:r>
    </w:p>
    <w:p>
      <w:pPr>
        <w:spacing w:after="0" w:line="151" w:lineRule="exact"/>
        <w:rPr>
          <w:rFonts w:ascii="Times New Roman" w:cs="Times New Roman" w:eastAsia="Times New Roman" w:hAnsi="Times New Roman"/>
          <w:sz w:val="16"/>
          <w:szCs w:val="16"/>
          <w:color w:val="auto"/>
        </w:rPr>
      </w:pPr>
    </w:p>
    <w:p>
      <w:pPr>
        <w:ind w:left="5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F-28</w:t>
      </w:r>
    </w:p>
    <w:p>
      <w:pPr>
        <w:sectPr>
          <w:pgSz w:w="11900" w:h="16838" w:orient="portrait"/>
          <w:cols w:equalWidth="0" w:num="1">
            <w:col w:w="10960"/>
          </w:cols>
          <w:pgMar w:left="320" w:top="472" w:right="6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CASH EQUIVALENTS AND RESTRICTED CASH</w:t>
      </w:r>
      <w:r>
        <w:rPr>
          <w:rFonts w:ascii="Times New Roman" w:cs="Times New Roman" w:eastAsia="Times New Roman" w:hAnsi="Times New Roman"/>
          <w:sz w:val="17"/>
          <w:szCs w:val="17"/>
          <w:color w:val="auto"/>
        </w:rPr>
        <w:t xml:space="preserve"> - continued</w:t>
      </w:r>
    </w:p>
    <w:p>
      <w:pPr>
        <w:spacing w:after="0" w:line="138" w:lineRule="exact"/>
        <w:rPr>
          <w:sz w:val="20"/>
          <w:szCs w:val="20"/>
          <w:color w:val="auto"/>
        </w:rPr>
      </w:pPr>
    </w:p>
    <w:p>
      <w:pPr>
        <w:ind w:left="1140" w:right="60"/>
        <w:spacing w:after="0" w:line="260" w:lineRule="auto"/>
        <w:rPr>
          <w:sz w:val="20"/>
          <w:szCs w:val="20"/>
          <w:color w:val="auto"/>
        </w:rPr>
      </w:pPr>
      <w:r>
        <w:rPr>
          <w:rFonts w:ascii="Times New Roman" w:cs="Times New Roman" w:eastAsia="Times New Roman" w:hAnsi="Times New Roman"/>
          <w:sz w:val="16"/>
          <w:szCs w:val="16"/>
          <w:color w:val="auto"/>
        </w:rPr>
        <w:t>On December 9, 2022, as required under the Concession, MRM provided a bank guarantee in favor of the Macau government of Macau Patacas (“MOP”) 1,000,000 (equivalent to $124,319) to secure the fulfillment of performance of certain of its legal and contractual obligations, including labor obligations. As stipulated in the bank guarantee contract, the amount of MOP1,000,000 (equivalent to $124,319), or an equivalent amount in other currencies, is required to be held in a cash deposit account as collateral in order to secure the bank guarantee. The bank guarantee will remain in effect until 180 days after the earlier of the expiration or termination of the Concession. As of December 31, 2025 and 2024, Hong Kong dollars (“HK$”) 970,874 (equivalent to MOP1,000,000) held in the cash collateral bank account was translated to $124,772 and $125,056, respectively, and included in the non-current portion of restricted cash in the accompanying consolidated balance sheets.</w:t>
      </w:r>
    </w:p>
    <w:p>
      <w:pPr>
        <w:spacing w:after="0" w:line="323" w:lineRule="exact"/>
        <w:rPr>
          <w:sz w:val="20"/>
          <w:szCs w:val="20"/>
          <w:color w:val="auto"/>
        </w:rPr>
      </w:pPr>
    </w:p>
    <w:p>
      <w:pPr>
        <w:ind w:left="720" w:hanging="428"/>
        <w:spacing w:after="0"/>
        <w:tabs>
          <w:tab w:leader="none" w:pos="720" w:val="left"/>
        </w:tabs>
        <w:numPr>
          <w:ilvl w:val="0"/>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RECEIVABLE, NET</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Components of accounts receivable, net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2060" w:type="dxa"/>
            <w:vAlign w:val="bottom"/>
            <w:gridSpan w:val="6"/>
          </w:tcPr>
          <w:p>
            <w:pPr>
              <w:jc w:val="right"/>
              <w:ind w:right="6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180" w:type="dxa"/>
            <w:vAlign w:val="bottom"/>
          </w:tcPr>
          <w:p>
            <w:pPr>
              <w:spacing w:after="0"/>
              <w:rPr>
                <w:sz w:val="17"/>
                <w:szCs w:val="17"/>
                <w:color w:val="auto"/>
              </w:rPr>
            </w:pPr>
          </w:p>
        </w:tc>
        <w:tc>
          <w:tcPr>
            <w:tcW w:w="7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r>
      <w:tr>
        <w:trPr>
          <w:trHeight w:val="202"/>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Casino</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$ 238,331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$ 270,186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Hotel</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4,623</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3,903</w:t>
            </w: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2,389</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523</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245,343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274,612</w:t>
            </w:r>
          </w:p>
        </w:tc>
        <w:tc>
          <w:tcPr>
            <w:tcW w:w="100" w:type="dxa"/>
            <w:vAlign w:val="bottom"/>
          </w:tcPr>
          <w:p>
            <w:pPr>
              <w:spacing w:after="0"/>
              <w:rPr>
                <w:sz w:val="18"/>
                <w:szCs w:val="18"/>
                <w:color w:val="auto"/>
              </w:rPr>
            </w:pPr>
          </w:p>
        </w:tc>
      </w:tr>
      <w:tr>
        <w:trPr>
          <w:trHeight w:val="209"/>
        </w:trPr>
        <w:tc>
          <w:tcPr>
            <w:tcW w:w="81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Less: allowances for credit losses</w:t>
            </w:r>
            <w:r>
              <w:rPr>
                <w:rFonts w:ascii="Times New Roman" w:cs="Times New Roman" w:eastAsia="Times New Roman" w:hAnsi="Times New Roman"/>
                <w:sz w:val="21"/>
                <w:szCs w:val="21"/>
                <w:color w:val="auto"/>
                <w:vertAlign w:val="superscript"/>
              </w:rPr>
              <w:t>(1)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(118,938)</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(130,401)</w:t>
            </w:r>
          </w:p>
        </w:tc>
      </w:tr>
      <w:tr>
        <w:trPr>
          <w:trHeight w:val="215"/>
        </w:trPr>
        <w:tc>
          <w:tcPr>
            <w:tcW w:w="8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144,211</w:t>
            </w:r>
          </w:p>
        </w:tc>
        <w:tc>
          <w:tcPr>
            <w:tcW w:w="100" w:type="dxa"/>
            <w:vAlign w:val="bottom"/>
          </w:tcPr>
          <w:p>
            <w:pPr>
              <w:spacing w:after="0"/>
              <w:rPr>
                <w:sz w:val="18"/>
                <w:szCs w:val="18"/>
                <w:color w:val="auto"/>
              </w:rPr>
            </w:pP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$ 126,405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$ 144,211</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500" w:hanging="410"/>
        <w:spacing w:after="0" w:line="281" w:lineRule="auto"/>
        <w:tabs>
          <w:tab w:leader="none" w:pos="11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allowances for credit losses of nil and $2,391 as a reduction of the long-term casino accounts receivable, are recorded and included in long-term prepayments, deposits and other assets in the accompanying consolidated balance sheets, respectively.</w:t>
      </w:r>
    </w:p>
    <w:p>
      <w:pPr>
        <w:spacing w:after="0" w:line="61" w:lineRule="exact"/>
        <w:rPr>
          <w:sz w:val="20"/>
          <w:szCs w:val="20"/>
          <w:color w:val="auto"/>
        </w:rPr>
      </w:pPr>
    </w:p>
    <w:p>
      <w:pPr>
        <w:ind w:left="720" w:right="440"/>
        <w:spacing w:after="0" w:line="295" w:lineRule="auto"/>
        <w:rPr>
          <w:sz w:val="20"/>
          <w:szCs w:val="20"/>
          <w:color w:val="auto"/>
        </w:rPr>
      </w:pPr>
      <w:r>
        <w:rPr>
          <w:rFonts w:ascii="Times New Roman" w:cs="Times New Roman" w:eastAsia="Times New Roman" w:hAnsi="Times New Roman"/>
          <w:sz w:val="17"/>
          <w:szCs w:val="17"/>
          <w:color w:val="auto"/>
        </w:rPr>
        <w:t>The Company’s allowances for casino credit losses were 49.9% and 48.2% of gross casino accounts receivable as of December 31, 2025 and 2024, respectively. The Company’s allowances for credit losses from its hotel and other receivables are not material.</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Movement in the allowances for credit losses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80" w:type="dxa"/>
            <w:vAlign w:val="bottom"/>
            <w:gridSpan w:val="7"/>
          </w:tcPr>
          <w:p>
            <w:pPr>
              <w:jc w:val="right"/>
              <w:ind w:right="78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37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7"/>
                <w:szCs w:val="17"/>
                <w:color w:val="auto"/>
              </w:rPr>
            </w:pPr>
          </w:p>
        </w:tc>
      </w:tr>
      <w:tr>
        <w:trPr>
          <w:trHeight w:val="202"/>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$ 130,401</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$ 156,240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$ 217,244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(reversal of) credit losses</w:t>
            </w:r>
          </w:p>
        </w:tc>
        <w:tc>
          <w:tcPr>
            <w:tcW w:w="44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12,473</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(3,869)</w:t>
            </w: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Write-offs, net of recoveries</w:t>
            </w:r>
          </w:p>
        </w:tc>
        <w:tc>
          <w:tcPr>
            <w:tcW w:w="4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(23,690)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(28,748)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(56,805)</w:t>
            </w: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w:t>
            </w:r>
          </w:p>
        </w:tc>
        <w:tc>
          <w:tcPr>
            <w:tcW w:w="32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(246)</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340</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(330)</w:t>
            </w:r>
          </w:p>
        </w:tc>
      </w:tr>
      <w:tr>
        <w:trPr>
          <w:trHeight w:val="26"/>
        </w:trPr>
        <w:tc>
          <w:tcPr>
            <w:tcW w:w="37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4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$ 118,938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$ 130,401</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$ 156,240</w:t>
            </w:r>
          </w:p>
        </w:tc>
      </w:tr>
      <w:tr>
        <w:trPr>
          <w:trHeight w:val="20"/>
        </w:trPr>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4460" w:type="dxa"/>
            <w:vAlign w:val="bottom"/>
            <w:gridSpan w:val="3"/>
          </w:tcPr>
          <w:p>
            <w:pPr>
              <w:jc w:val="right"/>
              <w:ind w:right="3120"/>
              <w:spacing w:after="0"/>
              <w:rPr>
                <w:sz w:val="20"/>
                <w:szCs w:val="20"/>
                <w:color w:val="auto"/>
              </w:rPr>
            </w:pPr>
            <w:r>
              <w:rPr>
                <w:rFonts w:ascii="Times New Roman" w:cs="Times New Roman" w:eastAsia="Times New Roman" w:hAnsi="Times New Roman"/>
                <w:sz w:val="17"/>
                <w:szCs w:val="17"/>
                <w:color w:val="auto"/>
              </w:rPr>
              <w:t>F-29</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8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9"/>
        </w:trPr>
        <w:tc>
          <w:tcPr>
            <w:tcW w:w="7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280" w:type="dxa"/>
            <w:vAlign w:val="bottom"/>
          </w:tcPr>
          <w:p>
            <w:pPr>
              <w:jc w:val="center"/>
              <w:ind w:left="125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tcPr>
          <w:p>
            <w:pPr>
              <w:jc w:val="center"/>
              <w:ind w:left="123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80" w:type="dxa"/>
            <w:vAlign w:val="bottom"/>
          </w:tcPr>
          <w:p>
            <w:pPr>
              <w:jc w:val="center"/>
              <w:ind w:left="123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4"/>
        </w:trPr>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5.   PROPERTY AND EQUIPMENT, NET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right"/>
              <w:ind w:right="7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20" w:type="dxa"/>
            <w:vAlign w:val="bottom"/>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2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7"/>
                <w:szCs w:val="17"/>
                <w:color w:val="auto"/>
              </w:rPr>
            </w:pPr>
          </w:p>
        </w:tc>
      </w:tr>
      <w:tr>
        <w:trPr>
          <w:trHeight w:val="202"/>
        </w:trPr>
        <w:tc>
          <w:tcPr>
            <w:tcW w:w="720" w:type="dxa"/>
            <w:vAlign w:val="bottom"/>
          </w:tcPr>
          <w:p>
            <w:pPr>
              <w:spacing w:after="0"/>
              <w:rPr>
                <w:sz w:val="17"/>
                <w:szCs w:val="17"/>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7,683,957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7,648,293</w:t>
            </w:r>
          </w:p>
        </w:tc>
        <w:tc>
          <w:tcPr>
            <w:tcW w:w="100" w:type="dxa"/>
            <w:vAlign w:val="bottom"/>
            <w:shd w:val="clear" w:color="auto" w:fill="CCEEFF"/>
          </w:tcPr>
          <w:p>
            <w:pPr>
              <w:spacing w:after="0"/>
              <w:rPr>
                <w:sz w:val="17"/>
                <w:szCs w:val="17"/>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1,292,018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1,215,688</w:t>
            </w: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1,276,778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1,175,252</w:t>
            </w: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Gaming equipment</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319,464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274,301</w:t>
            </w: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Transportation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198,221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196,080</w:t>
            </w: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Freehold land</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62,142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54,956</w:t>
            </w: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improvements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2,418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2,082</w:t>
            </w: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721</w:t>
            </w:r>
          </w:p>
        </w:tc>
      </w:tr>
      <w:tr>
        <w:trPr>
          <w:trHeight w:val="26"/>
        </w:trPr>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9"/>
              </w:rPr>
              <w:t>10,837,173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10,567,373</w:t>
            </w: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(5,679,730)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(5,294,873)</w:t>
            </w:r>
          </w:p>
        </w:tc>
      </w:tr>
      <w:tr>
        <w:trPr>
          <w:trHeight w:val="26"/>
        </w:trPr>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5,157,443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5,272,500</w:t>
            </w: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80"/>
        <w:spacing w:after="0" w:line="295" w:lineRule="auto"/>
        <w:rPr>
          <w:sz w:val="20"/>
          <w:szCs w:val="20"/>
          <w:color w:val="auto"/>
        </w:rPr>
      </w:pPr>
      <w:r>
        <w:rPr>
          <w:rFonts w:ascii="Times New Roman" w:cs="Times New Roman" w:eastAsia="Times New Roman" w:hAnsi="Times New Roman"/>
          <w:sz w:val="17"/>
          <w:szCs w:val="17"/>
          <w:color w:val="auto"/>
        </w:rPr>
        <w:t>The depreciation and amortization expenses of property and equipment recognized for the years ended December 31, 2025, 2024 and 2023 were $486,487, $487,349 and $482,574, respectively.</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cost and accumulated amortization of right-of-use assets held under finance lease arrangements were $140,301 and $106,401 as</w:t>
      </w:r>
    </w:p>
    <w:p>
      <w:pPr>
        <w:spacing w:after="0" w:line="32" w:lineRule="exact"/>
        <w:rPr>
          <w:sz w:val="20"/>
          <w:szCs w:val="20"/>
          <w:color w:val="auto"/>
        </w:rPr>
      </w:pPr>
    </w:p>
    <w:p>
      <w:pPr>
        <w:ind w:left="720" w:right="520"/>
        <w:spacing w:after="0" w:line="273" w:lineRule="auto"/>
        <w:rPr>
          <w:sz w:val="20"/>
          <w:szCs w:val="20"/>
          <w:color w:val="auto"/>
        </w:rPr>
      </w:pPr>
      <w:r>
        <w:rPr>
          <w:rFonts w:ascii="Times New Roman" w:cs="Times New Roman" w:eastAsia="Times New Roman" w:hAnsi="Times New Roman"/>
          <w:sz w:val="17"/>
          <w:szCs w:val="17"/>
          <w:color w:val="auto"/>
        </w:rPr>
        <w:t>of December 31, 2025 and $142,305 and $102,632 as of December 31, 2024, respectively. Further information on the lease arrangements is included in Note 11.</w:t>
      </w:r>
    </w:p>
    <w:p>
      <w:pPr>
        <w:spacing w:after="0" w:line="60" w:lineRule="exact"/>
        <w:rPr>
          <w:sz w:val="20"/>
          <w:szCs w:val="20"/>
          <w:color w:val="auto"/>
        </w:rPr>
      </w:pPr>
    </w:p>
    <w:p>
      <w:pPr>
        <w:ind w:left="720" w:right="80"/>
        <w:spacing w:after="0" w:line="262" w:lineRule="auto"/>
        <w:rPr>
          <w:sz w:val="20"/>
          <w:szCs w:val="20"/>
          <w:color w:val="auto"/>
        </w:rPr>
      </w:pPr>
      <w:r>
        <w:rPr>
          <w:rFonts w:ascii="Times New Roman" w:cs="Times New Roman" w:eastAsia="Times New Roman" w:hAnsi="Times New Roman"/>
          <w:sz w:val="17"/>
          <w:szCs w:val="17"/>
          <w:color w:val="auto"/>
        </w:rPr>
        <w:t>In accordance with the Macau gaming law, the Reversion Assets (as defined in Note 6) that reverted to the Macau government at the expiration of the previous gaming subconcession are currently owned by the Macau government. Effective as of January 1, 2023, the Reversion Assets were transferred by the Macau government to MRM for the duration of the Concession, in return for annual payments for the right to use and operate the Reversion Assets as part of the Concession, as disclosed in Note 6. As MRM continues to be operated in and with the Reversion Assets in the same manner as under the previous gaming subconcession to operate a gaming business in Macau which expired on December 31, 2022 and obtains substantially all of the economic benefits and bears all of the risks arising from the operation of these assets, and assuming it will be successful in obtaining a new concession upon expiry of the Concession, the Company continues to recognize these Reversion Assets as property and equipment over their remaining estimated useful lives.</w:t>
      </w:r>
    </w:p>
    <w:p>
      <w:pPr>
        <w:spacing w:after="0" w:line="316" w:lineRule="exact"/>
        <w:rPr>
          <w:sz w:val="20"/>
          <w:szCs w:val="20"/>
          <w:color w:val="auto"/>
        </w:rPr>
      </w:pPr>
    </w:p>
    <w:p>
      <w:pPr>
        <w:ind w:left="720" w:hanging="428"/>
        <w:spacing w:after="0"/>
        <w:tabs>
          <w:tab w:leader="none" w:pos="720"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(a) Goodwill</w:t>
      </w:r>
    </w:p>
    <w:p>
      <w:pPr>
        <w:spacing w:after="0" w:line="120" w:lineRule="exact"/>
        <w:rPr>
          <w:sz w:val="20"/>
          <w:szCs w:val="20"/>
          <w:color w:val="auto"/>
        </w:rPr>
      </w:pPr>
    </w:p>
    <w:p>
      <w:pPr>
        <w:jc w:val="both"/>
        <w:ind w:left="1140" w:right="40"/>
        <w:spacing w:after="0" w:line="276" w:lineRule="auto"/>
        <w:rPr>
          <w:sz w:val="20"/>
          <w:szCs w:val="20"/>
          <w:color w:val="auto"/>
        </w:rPr>
      </w:pPr>
      <w:r>
        <w:rPr>
          <w:rFonts w:ascii="Times New Roman" w:cs="Times New Roman" w:eastAsia="Times New Roman" w:hAnsi="Times New Roman"/>
          <w:sz w:val="17"/>
          <w:szCs w:val="17"/>
          <w:color w:val="auto"/>
        </w:rPr>
        <w:t>Goodwill relating to Mocha Clubs arose from acquisition by the Company in 2006 and is reported under the Mocha and Other segment. The changes in carrying amounts of goodwill represented the impairment of $57,924 as disclosed in Note 2(k) and exchange differences arising from foreign currency translations at the balance sheet date.</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0960"/>
          </w:cols>
          <w:pgMar w:left="320" w:top="466" w:right="6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040" w:hanging="320"/>
        <w:spacing w:after="0"/>
        <w:tabs>
          <w:tab w:leader="none" w:pos="1040" w:val="left"/>
        </w:tabs>
        <w:numPr>
          <w:ilvl w:val="1"/>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p>
    <w:p>
      <w:pPr>
        <w:spacing w:after="0" w:line="120"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Intangible assets, net consisted of the following:</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7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7"/>
                <w:szCs w:val="17"/>
                <w:color w:val="auto"/>
              </w:rPr>
            </w:pPr>
          </w:p>
        </w:tc>
      </w:tr>
      <w:tr>
        <w:trPr>
          <w:trHeight w:val="20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Finite-lived intangible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shd w:val="clear" w:color="auto" w:fill="CCEEFF"/>
          </w:tcPr>
          <w:p>
            <w:pPr>
              <w:spacing w:after="0"/>
              <w:rPr>
                <w:sz w:val="17"/>
                <w:szCs w:val="17"/>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Trademarks of Mocha Clubs</w:t>
            </w:r>
          </w:p>
        </w:tc>
        <w:tc>
          <w:tcPr>
            <w:tcW w:w="1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280" w:type="dxa"/>
            <w:vAlign w:val="bottom"/>
          </w:tcPr>
          <w:p>
            <w:pPr>
              <w:spacing w:after="0"/>
              <w:rPr>
                <w:sz w:val="18"/>
                <w:szCs w:val="18"/>
                <w:color w:val="auto"/>
              </w:rPr>
            </w:pP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4,229</w:t>
            </w:r>
          </w:p>
        </w:tc>
      </w:tr>
      <w:tr>
        <w:trPr>
          <w:trHeight w:val="209"/>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21"/>
        </w:trPr>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tcPr>
          <w:p>
            <w:pPr>
              <w:spacing w:after="0"/>
              <w:rPr>
                <w:sz w:val="19"/>
                <w:szCs w:val="19"/>
                <w:color w:val="auto"/>
              </w:rPr>
            </w:pPr>
          </w:p>
        </w:tc>
      </w:tr>
      <w:tr>
        <w:trPr>
          <w:trHeight w:val="209"/>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Concession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211,929</w:t>
            </w:r>
          </w:p>
        </w:tc>
      </w:tr>
      <w:tr>
        <w:trPr>
          <w:trHeight w:val="215"/>
        </w:trPr>
        <w:tc>
          <w:tcPr>
            <w:tcW w:w="7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(67,395)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(45,076)</w:t>
            </w:r>
          </w:p>
        </w:tc>
      </w:tr>
      <w:tr>
        <w:trPr>
          <w:trHeight w:val="209"/>
        </w:trPr>
        <w:tc>
          <w:tcPr>
            <w:tcW w:w="7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166,853</w:t>
            </w:r>
          </w:p>
        </w:tc>
        <w:tc>
          <w:tcPr>
            <w:tcW w:w="100" w:type="dxa"/>
            <w:vAlign w:val="bottom"/>
            <w:shd w:val="clear" w:color="auto" w:fill="CCEEFF"/>
          </w:tcPr>
          <w:p>
            <w:pPr>
              <w:spacing w:after="0"/>
              <w:rPr>
                <w:sz w:val="18"/>
                <w:szCs w:val="18"/>
                <w:color w:val="auto"/>
              </w:rPr>
            </w:pPr>
          </w:p>
        </w:tc>
      </w:tr>
      <w:tr>
        <w:trPr>
          <w:trHeight w:val="215"/>
        </w:trPr>
        <w:tc>
          <w:tcPr>
            <w:tcW w:w="7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Cyprus License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70,785</w:t>
            </w:r>
          </w:p>
        </w:tc>
        <w:tc>
          <w:tcPr>
            <w:tcW w:w="100" w:type="dxa"/>
            <w:vAlign w:val="bottom"/>
          </w:tcPr>
          <w:p>
            <w:pPr>
              <w:spacing w:after="0"/>
              <w:rPr>
                <w:sz w:val="18"/>
                <w:szCs w:val="18"/>
                <w:color w:val="auto"/>
              </w:rPr>
            </w:pPr>
          </w:p>
        </w:tc>
      </w:tr>
      <w:tr>
        <w:trPr>
          <w:trHeight w:val="209"/>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(4,449)</w:t>
            </w:r>
          </w:p>
        </w:tc>
      </w:tr>
      <w:tr>
        <w:trPr>
          <w:trHeight w:val="221"/>
        </w:trPr>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66,336</w:t>
            </w:r>
          </w:p>
        </w:tc>
        <w:tc>
          <w:tcPr>
            <w:tcW w:w="100" w:type="dxa"/>
            <w:vAlign w:val="bottom"/>
          </w:tcPr>
          <w:p>
            <w:pPr>
              <w:spacing w:after="0"/>
              <w:rPr>
                <w:sz w:val="19"/>
                <w:szCs w:val="19"/>
                <w:color w:val="auto"/>
              </w:rPr>
            </w:pPr>
          </w:p>
        </w:tc>
      </w:tr>
      <w:tr>
        <w:trPr>
          <w:trHeight w:val="209"/>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Sri Lanka License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16,127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17,089</w:t>
            </w:r>
          </w:p>
        </w:tc>
      </w:tr>
      <w:tr>
        <w:trPr>
          <w:trHeight w:val="215"/>
        </w:trPr>
        <w:tc>
          <w:tcPr>
            <w:tcW w:w="7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7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17,089</w:t>
            </w:r>
          </w:p>
        </w:tc>
        <w:tc>
          <w:tcPr>
            <w:tcW w:w="100" w:type="dxa"/>
            <w:vAlign w:val="bottom"/>
            <w:shd w:val="clear" w:color="auto" w:fill="CCEEFF"/>
          </w:tcPr>
          <w:p>
            <w:pPr>
              <w:spacing w:after="0"/>
              <w:rPr>
                <w:sz w:val="18"/>
                <w:szCs w:val="18"/>
                <w:color w:val="auto"/>
              </w:rPr>
            </w:pPr>
          </w:p>
        </w:tc>
      </w:tr>
      <w:tr>
        <w:trPr>
          <w:trHeight w:val="215"/>
        </w:trPr>
        <w:tc>
          <w:tcPr>
            <w:tcW w:w="7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Internal-use software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66,601</w:t>
            </w:r>
          </w:p>
        </w:tc>
        <w:tc>
          <w:tcPr>
            <w:tcW w:w="100" w:type="dxa"/>
            <w:vAlign w:val="bottom"/>
          </w:tcPr>
          <w:p>
            <w:pPr>
              <w:spacing w:after="0"/>
              <w:rPr>
                <w:sz w:val="18"/>
                <w:szCs w:val="18"/>
                <w:color w:val="auto"/>
              </w:rPr>
            </w:pPr>
          </w:p>
        </w:tc>
      </w:tr>
      <w:tr>
        <w:trPr>
          <w:trHeight w:val="209"/>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(47,971)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(39,409)</w:t>
            </w:r>
          </w:p>
        </w:tc>
      </w:tr>
      <w:tr>
        <w:trPr>
          <w:trHeight w:val="221"/>
        </w:trPr>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27,192</w:t>
            </w:r>
          </w:p>
        </w:tc>
        <w:tc>
          <w:tcPr>
            <w:tcW w:w="100" w:type="dxa"/>
            <w:vAlign w:val="bottom"/>
          </w:tcPr>
          <w:p>
            <w:pPr>
              <w:spacing w:after="0"/>
              <w:rPr>
                <w:sz w:val="19"/>
                <w:szCs w:val="19"/>
                <w:color w:val="auto"/>
              </w:rPr>
            </w:pPr>
          </w:p>
        </w:tc>
      </w:tr>
      <w:tr>
        <w:trPr>
          <w:trHeight w:val="209"/>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Proprietary rights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16,371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11,996</w:t>
            </w:r>
          </w:p>
        </w:tc>
      </w:tr>
      <w:tr>
        <w:trPr>
          <w:trHeight w:val="215"/>
        </w:trPr>
        <w:tc>
          <w:tcPr>
            <w:tcW w:w="7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(4,985)</w:t>
            </w:r>
          </w:p>
        </w:tc>
      </w:tr>
      <w:tr>
        <w:trPr>
          <w:trHeight w:val="209"/>
        </w:trPr>
        <w:tc>
          <w:tcPr>
            <w:tcW w:w="7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7,011</w:t>
            </w:r>
          </w:p>
        </w:tc>
        <w:tc>
          <w:tcPr>
            <w:tcW w:w="100" w:type="dxa"/>
            <w:vAlign w:val="bottom"/>
            <w:shd w:val="clear" w:color="auto" w:fill="CCEEFF"/>
          </w:tcPr>
          <w:p>
            <w:pPr>
              <w:spacing w:after="0"/>
              <w:rPr>
                <w:sz w:val="18"/>
                <w:szCs w:val="18"/>
                <w:color w:val="auto"/>
              </w:rPr>
            </w:pPr>
          </w:p>
        </w:tc>
      </w:tr>
      <w:tr>
        <w:trPr>
          <w:trHeight w:val="215"/>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270,903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288,710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Trademarks of Mocha Clubs</w:t>
      </w:r>
    </w:p>
    <w:p>
      <w:pPr>
        <w:spacing w:after="0" w:line="118" w:lineRule="exact"/>
        <w:rPr>
          <w:sz w:val="20"/>
          <w:szCs w:val="20"/>
          <w:color w:val="auto"/>
        </w:rPr>
      </w:pPr>
    </w:p>
    <w:p>
      <w:pPr>
        <w:ind w:left="1040"/>
        <w:spacing w:after="0" w:line="276" w:lineRule="auto"/>
        <w:rPr>
          <w:sz w:val="20"/>
          <w:szCs w:val="20"/>
          <w:color w:val="auto"/>
        </w:rPr>
      </w:pPr>
      <w:r>
        <w:rPr>
          <w:rFonts w:ascii="Times New Roman" w:cs="Times New Roman" w:eastAsia="Times New Roman" w:hAnsi="Times New Roman"/>
          <w:sz w:val="17"/>
          <w:szCs w:val="17"/>
          <w:color w:val="auto"/>
        </w:rPr>
        <w:t>Trademarks relating to Mocha Clubs arose from acquisition by the Company in 2006. Effective from June 9, 2025, the estimated useful lives of Mocha Clubs trademarks were changed from indefinite useful lives to finite useful lives and the carrying amount is amortized on a straight-line basis over the remaining period of the Concession as disclosed in Note 2(k).</w:t>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Concession</w:t>
      </w:r>
    </w:p>
    <w:p>
      <w:pPr>
        <w:spacing w:after="0" w:line="118" w:lineRule="exact"/>
        <w:rPr>
          <w:sz w:val="20"/>
          <w:szCs w:val="20"/>
          <w:color w:val="auto"/>
        </w:rPr>
      </w:pPr>
    </w:p>
    <w:p>
      <w:pPr>
        <w:ind w:left="1040" w:right="20"/>
        <w:spacing w:after="0" w:line="264" w:lineRule="auto"/>
        <w:rPr>
          <w:sz w:val="20"/>
          <w:szCs w:val="20"/>
          <w:color w:val="auto"/>
        </w:rPr>
      </w:pPr>
      <w:r>
        <w:rPr>
          <w:rFonts w:ascii="Times New Roman" w:cs="Times New Roman" w:eastAsia="Times New Roman" w:hAnsi="Times New Roman"/>
          <w:sz w:val="17"/>
          <w:szCs w:val="17"/>
          <w:color w:val="auto"/>
        </w:rPr>
        <w:t>On December 16, 2022, the Macau government awarded the Concession to MRM. The term of the Concession commenced on January 1, 2023 and ends on December 31, 2032 and MRM is authorized to operate the City of Dreams Casino, the Altira Casino and the Studio City Casino as well as the Grand Dragon Casino and the Mocha Clubs. On February 10, 2026, the Company entered into an amendment agreement to the concession agreement to reflect the permanent cessation of operations of the Grand Dragon Casino and three Mocha Clubs effective from January 1, 2026. Under the Concession, MRM is obligated to pay the Macau government a fixed annual premium of MOP30,000 (equivalent to $3,743)</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0960"/>
          </w:cols>
          <w:pgMar w:left="320" w:top="472" w:right="6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040" w:right="7460" w:hanging="320"/>
        <w:spacing w:after="0" w:line="394" w:lineRule="auto"/>
        <w:tabs>
          <w:tab w:leader="none" w:pos="1039" w:val="left"/>
        </w:tabs>
        <w:numPr>
          <w:ilvl w:val="1"/>
          <w:numId w:val="1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Concession</w:t>
      </w:r>
      <w:r>
        <w:rPr>
          <w:rFonts w:ascii="Times New Roman" w:cs="Times New Roman" w:eastAsia="Times New Roman" w:hAnsi="Times New Roman"/>
          <w:sz w:val="17"/>
          <w:szCs w:val="17"/>
          <w:color w:val="auto"/>
        </w:rPr>
        <w:t xml:space="preserve"> - continued</w:t>
      </w:r>
    </w:p>
    <w:p>
      <w:pPr>
        <w:ind w:left="1040" w:right="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plus a variable annual premium calculated in accordance with the number and type of gaming tables (subject to a minimum of 500 tables) and electronic gaming machines (subject to a minimum of 1,000 machines) operated by MRM. The variable annual premium is MOP300 (equivalent to $37) for each gaming table reserved exclusively to certain kinds of games or players, MOP150 (equivalent to $19) for each gaming table not so exclusively reserved and MOP1 (equivalent to $0.1) for each electronic gaming machine.</w:t>
      </w:r>
    </w:p>
    <w:p>
      <w:pPr>
        <w:spacing w:after="0" w:line="64" w:lineRule="exact"/>
        <w:rPr>
          <w:rFonts w:ascii="Times New Roman" w:cs="Times New Roman" w:eastAsia="Times New Roman" w:hAnsi="Times New Roman"/>
          <w:sz w:val="17"/>
          <w:szCs w:val="17"/>
          <w:b w:val="1"/>
          <w:bCs w:val="1"/>
          <w:color w:val="auto"/>
        </w:rPr>
      </w:pPr>
    </w:p>
    <w:p>
      <w:pPr>
        <w:ind w:left="1040" w:right="1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30, 2022, in accordance with the obligations under the letters of undertakings dated June 23, 2022, MRM and certain subsidiaries of Melco Resorts, which hold the land lease rights for the properties on which the City of Dreams Casino, the Altira Casino and the Studio City Casino are located, executed a public deed pursuant to which the gaming and gaming support areas comprising the City of Dreams Casino, the Altira Casino and the Studio City Casino with an area of 31,227.3 square meters, 17,128.8 square meters and 28,784.3 square meters, respectively, and related gaming equipment and utensils (collectively referred to as the “Reversion Assets”), reverted to the Macau government, without compensation and free and clear from any charges or encumbrances, at the expiration of the previous gaming subconcession in accordance with the Macau gaming law. The Reversion Assets that reverted to the Macau government at the expiration of the previous gaming subconcession are currently owned by the Macau government. Under the terms of the Macau gaming law and the Concession, effective as of January 1, 2023, the Reversion Assets were transferred by the Macau government to MRM for use in its operations during the Concession for a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 (the “Fee”).</w:t>
      </w:r>
    </w:p>
    <w:p>
      <w:pPr>
        <w:spacing w:after="0" w:line="281" w:lineRule="exact"/>
        <w:rPr>
          <w:rFonts w:ascii="Times New Roman" w:cs="Times New Roman" w:eastAsia="Times New Roman" w:hAnsi="Times New Roman"/>
          <w:sz w:val="17"/>
          <w:szCs w:val="17"/>
          <w:b w:val="1"/>
          <w:bCs w:val="1"/>
          <w:color w:val="auto"/>
        </w:rPr>
      </w:pPr>
    </w:p>
    <w:p>
      <w:pPr>
        <w:ind w:left="10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1, 2023, the Company recognized an intangible asset and financial liability of MOP1,934,035 (equivalent to $239,588), representing the right to use and operate the Reversion Assets, the right to conduct games of fortunes and chance in Macau and the unconditional obligation to make payments under the Concession. This intangible asset comprises the contractually obligated annual payments of fixed premium and variable premiums, as well as the Fee without considering the consumer price index under the Concession. The contractually obligated annual variable premium payments associated with the intangible asset were determined using the total number of gaming tables and the total number of electronic gaming machines that MRM is currently approved to operate by the Macau government. Changes in annual payments related to the consumer price index will be recognized as an adjustment to the carrying amount of intangible asset and corresponding financial liability. In the accompanying consolidated balance sheet, the non-current portion of the financial liability of the Concession is included in other long-term liabilities and the current portion is included in accrued expenses and other current liabilities. The intangible asset is being amortized on a straight-line basis over the period of the Concession, being 10 years.</w:t>
      </w:r>
    </w:p>
    <w:p>
      <w:pPr>
        <w:spacing w:after="0" w:line="69"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Cyprus License</w:t>
      </w:r>
    </w:p>
    <w:p>
      <w:pPr>
        <w:spacing w:after="0" w:line="118" w:lineRule="exact"/>
        <w:rPr>
          <w:rFonts w:ascii="Times New Roman" w:cs="Times New Roman" w:eastAsia="Times New Roman" w:hAnsi="Times New Roman"/>
          <w:sz w:val="17"/>
          <w:szCs w:val="17"/>
          <w:b w:val="1"/>
          <w:bCs w:val="1"/>
          <w:color w:val="auto"/>
        </w:rPr>
      </w:pPr>
    </w:p>
    <w:p>
      <w:pPr>
        <w:ind w:left="1040" w:right="1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26, 2017, the Cyprus government granted a gaming license (the “Cyprus License”) to a subsidiary of Melco Resorts in Cyprus (the “Cyprus Subsidiary”) to develop, operate and maintain an</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0940"/>
          </w:cols>
          <w:pgMar w:left="320" w:top="472" w:right="6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040" w:right="7440" w:hanging="320"/>
        <w:spacing w:after="0" w:line="394" w:lineRule="auto"/>
        <w:tabs>
          <w:tab w:leader="none" w:pos="1039" w:val="left"/>
        </w:tabs>
        <w:numPr>
          <w:ilvl w:val="1"/>
          <w:numId w:val="1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Cyprus License</w:t>
      </w:r>
      <w:r>
        <w:rPr>
          <w:rFonts w:ascii="Times New Roman" w:cs="Times New Roman" w:eastAsia="Times New Roman" w:hAnsi="Times New Roman"/>
          <w:sz w:val="17"/>
          <w:szCs w:val="17"/>
          <w:color w:val="auto"/>
        </w:rPr>
        <w:t xml:space="preserve"> - continued</w:t>
      </w:r>
    </w:p>
    <w:p>
      <w:pPr>
        <w:ind w:left="104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integrated casino resort in Limassol, Cyprus (and, up until completion and opening of City of Dreams Mediterranean, a temporary casino facility) and up to four satellite casino premises in Cyprus for a term of 30 years, the first 15 years of which are exclusive. Pursuant to the Cyprus License agreement, the Cyprus Subsidiary is obligated to pay the Cyprus government an annual license fee for the integrated casino resort (and prior to opening of City of Dreams Mediterranean, the temporary casino) and any operating satellite casinos (the “Cyprus License Fee”). The annual license fee for the integrated casino resort is Euros (“EUR”) 2,500 (equivalent to $2,941) for the first four years, and EUR5,000 (equivalent to $5,883) for the next four years. Upon the completion of the first eight years and thereafter every four years during the term of the Cyprus License, the Cyprus government may review the annual license fee, with minimum of EUR5,000 (equivalent to $5,883) per year and any increase in the annual license fee may not exceed 20% of the annual license fee paid annually during the previous four-year period. Pursuant to the letter from the Cyprus government dated August 26, 2025, the annual gaming license fee for the integrated casino resort remains EUR5,000 (equivalent to $5,883) per year until the twelfth year following the date of grant of the Cyprus License.</w:t>
      </w:r>
    </w:p>
    <w:p>
      <w:pPr>
        <w:spacing w:after="0" w:line="69" w:lineRule="exact"/>
        <w:rPr>
          <w:rFonts w:ascii="Times New Roman" w:cs="Times New Roman" w:eastAsia="Times New Roman" w:hAnsi="Times New Roman"/>
          <w:sz w:val="17"/>
          <w:szCs w:val="17"/>
          <w:b w:val="1"/>
          <w:bCs w:val="1"/>
          <w:color w:val="auto"/>
        </w:rPr>
      </w:pPr>
    </w:p>
    <w:p>
      <w:pPr>
        <w:ind w:left="104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28, 2023, upon fulfillment of certain requirements under the Cyprus License, the Company recognized an intangible asset of EUR68,031 (equivalent to $73,928) and financial liability of EUR67,231 (equivalent to $73,059), representing the future economic rights under the Cyprus License and the unconditional obligation to pay i) a minimum annual license fee for City of Dreams Mediterranean of EUR5,000 (equivalent to $5,883) per year; and ii) an aggregate annual license fee for three operating satellite casinos of EUR2,000 (equivalent to $2,353), during the term of the Cyprus License from June 28, 2023. In the accompanying consolidated balance sheet, the non-current portion of the financial liability of the Cyprus License is included in other long-term liabilities and the current portion is included in accrued expenses and other current liabilities. The intangible asset is being amortized on a straight-line basis over the remaining period of the Cyprus License until June 2047. Prior to June 28, 2023, the Cyprus License Fee was expensed as incurred and included in gaming taxes and license fees as disclosed in Note 2(q).</w:t>
      </w:r>
    </w:p>
    <w:p>
      <w:pPr>
        <w:spacing w:after="0" w:line="73"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Sri Lanka License</w:t>
      </w:r>
    </w:p>
    <w:p>
      <w:pPr>
        <w:spacing w:after="0" w:line="118" w:lineRule="exact"/>
        <w:rPr>
          <w:rFonts w:ascii="Times New Roman" w:cs="Times New Roman" w:eastAsia="Times New Roman" w:hAnsi="Times New Roman"/>
          <w:sz w:val="17"/>
          <w:szCs w:val="17"/>
          <w:b w:val="1"/>
          <w:bCs w:val="1"/>
          <w:color w:val="auto"/>
        </w:rPr>
      </w:pPr>
    </w:p>
    <w:p>
      <w:pPr>
        <w:ind w:left="104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27, 2024, the Sri Lanka government granted the Sri Lanka License to a subsidiary of Melco Resorts in Sri Lanka (the “Sri Lanka Subsidiary”), for a term of 20 years effective from April 1, 2024, to operate the Sri Lanka Casino in City of Dreams Sri Lanka developed by a subsidiary of John Keells which had an initial opening on August 1, 2025. Upon the signing of a lease agreement between the Sri Lanka Subsidiary and a subsidiary of John Keells (the “Sri Lanka Lease Agreement”) on July 10, 2024 which ends upon the expiry of the Sri Lanka License for the purpose of operating the Sri Lanka Casino, the Company recognized an intangible asset of Sri Lankan Rupees (“LKR”) 5,000,000 (equivalent to $16,600), representing the casino license fee for the Sri Lanka License, and is amortized on a straight-line basis over the period from the commencement date of the operation of the Sri Lanka Casino on August 1, 2025 to the date of the expiry of the Sri Lanka License.</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0920"/>
          </w:cols>
          <w:pgMar w:left="320" w:top="472" w:right="6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040" w:right="7480" w:hanging="320"/>
        <w:spacing w:after="0" w:line="394" w:lineRule="auto"/>
        <w:tabs>
          <w:tab w:leader="none" w:pos="1039" w:val="left"/>
        </w:tabs>
        <w:numPr>
          <w:ilvl w:val="1"/>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Proprietary rights</w:t>
      </w: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proprietary rights related to an entertainment show in City of Dreams acquired by the Company in 2020 for a cash consideration of</w:t>
      </w:r>
    </w:p>
    <w:p>
      <w:pPr>
        <w:spacing w:after="0" w:line="31" w:lineRule="exact"/>
        <w:rPr>
          <w:rFonts w:ascii="Times New Roman" w:cs="Times New Roman" w:eastAsia="Times New Roman" w:hAnsi="Times New Roman"/>
          <w:sz w:val="17"/>
          <w:szCs w:val="17"/>
          <w:b w:val="1"/>
          <w:bCs w:val="1"/>
          <w:color w:val="auto"/>
        </w:rPr>
      </w:pPr>
    </w:p>
    <w:p>
      <w:pPr>
        <w:ind w:left="1040" w:right="16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$12,000 with an estimated useful life of 10 years (the “2020 Proprietary Rights”). During the year ended December 31, 2025, the Company acquired additional trademarks in relation to the entertainment show for a cash consideration of $4,400 and will be amortized on a straight-line basis over 10 years after the commencement of show in May 2025. The estimated useful life of the 2020 Proprietary Rights was subsequently adjusted during the year ended December 31, 2025 to be amortized on a straight-line basis over 10 years after the commencement of show in May 2025. This change in estimate had no material impact to net income for the year ended December 31, 2025.</w:t>
      </w:r>
    </w:p>
    <w:p>
      <w:pPr>
        <w:spacing w:after="0" w:line="73" w:lineRule="exact"/>
        <w:rPr>
          <w:rFonts w:ascii="Times New Roman" w:cs="Times New Roman" w:eastAsia="Times New Roman" w:hAnsi="Times New Roman"/>
          <w:sz w:val="17"/>
          <w:szCs w:val="17"/>
          <w:b w:val="1"/>
          <w:bCs w:val="1"/>
          <w:color w:val="auto"/>
        </w:rPr>
      </w:pPr>
    </w:p>
    <w:p>
      <w:pPr>
        <w:ind w:left="1040" w:right="10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amortization expenses of finite-lived intangible assets recognized for the years ended December 31, 2025, 2024 and 2023 were $34,444, $33,326 and $37,216, respectively.</w:t>
      </w:r>
    </w:p>
    <w:p>
      <w:pPr>
        <w:spacing w:after="0" w:line="42" w:lineRule="exact"/>
        <w:rPr>
          <w:rFonts w:ascii="Times New Roman" w:cs="Times New Roman" w:eastAsia="Times New Roman" w:hAnsi="Times New Roman"/>
          <w:sz w:val="17"/>
          <w:szCs w:val="17"/>
          <w:b w:val="1"/>
          <w:bCs w:val="1"/>
          <w:color w:val="auto"/>
        </w:rPr>
      </w:pPr>
    </w:p>
    <w:p>
      <w:pPr>
        <w:ind w:left="1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2025, the estimated future amortization expenses of finite-lived intangible assets are as follows:</w:t>
      </w:r>
    </w:p>
    <w:p>
      <w:pPr>
        <w:spacing w:after="0" w:line="267" w:lineRule="exact"/>
        <w:rPr>
          <w:sz w:val="20"/>
          <w:szCs w:val="20"/>
          <w:color w:val="auto"/>
        </w:rPr>
      </w:pPr>
    </w:p>
    <w:tbl>
      <w:tblPr>
        <w:tblLayout w:type="fixed"/>
        <w:tblInd w:w="1060" w:type="dxa"/>
        <w:tblCellMar>
          <w:top w:w="0" w:type="dxa"/>
          <w:left w:w="0" w:type="dxa"/>
          <w:bottom w:w="0" w:type="dxa"/>
          <w:right w:w="0" w:type="dxa"/>
        </w:tblCellMar>
      </w:tblP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32,049</w:t>
            </w:r>
          </w:p>
        </w:tc>
        <w:tc>
          <w:tcPr>
            <w:tcW w:w="60" w:type="dxa"/>
            <w:vAlign w:val="bottom"/>
          </w:tcPr>
          <w:p>
            <w:pPr>
              <w:spacing w:after="0"/>
              <w:rPr>
                <w:sz w:val="18"/>
                <w:szCs w:val="18"/>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29,862</w:t>
            </w:r>
          </w:p>
        </w:tc>
        <w:tc>
          <w:tcPr>
            <w:tcW w:w="60" w:type="dxa"/>
            <w:vAlign w:val="bottom"/>
            <w:shd w:val="clear" w:color="auto" w:fill="CCEEFF"/>
          </w:tcPr>
          <w:p>
            <w:pPr>
              <w:spacing w:after="0"/>
              <w:rPr>
                <w:sz w:val="18"/>
                <w:szCs w:val="18"/>
                <w:color w:val="auto"/>
              </w:rPr>
            </w:pPr>
          </w:p>
        </w:tc>
      </w:tr>
      <w:tr>
        <w:trPr>
          <w:trHeight w:val="209"/>
        </w:trPr>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29,479</w:t>
            </w:r>
          </w:p>
        </w:tc>
        <w:tc>
          <w:tcPr>
            <w:tcW w:w="60" w:type="dxa"/>
            <w:vAlign w:val="bottom"/>
          </w:tcPr>
          <w:p>
            <w:pPr>
              <w:spacing w:after="0"/>
              <w:rPr>
                <w:sz w:val="18"/>
                <w:szCs w:val="18"/>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29,135</w:t>
            </w:r>
          </w:p>
        </w:tc>
        <w:tc>
          <w:tcPr>
            <w:tcW w:w="60" w:type="dxa"/>
            <w:vAlign w:val="bottom"/>
            <w:shd w:val="clear" w:color="auto" w:fill="CCEEFF"/>
          </w:tcPr>
          <w:p>
            <w:pPr>
              <w:spacing w:after="0"/>
              <w:rPr>
                <w:sz w:val="18"/>
                <w:szCs w:val="18"/>
                <w:color w:val="auto"/>
              </w:rPr>
            </w:pPr>
          </w:p>
        </w:tc>
      </w:tr>
      <w:tr>
        <w:trPr>
          <w:trHeight w:val="209"/>
        </w:trPr>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2030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29,135</w:t>
            </w:r>
          </w:p>
        </w:tc>
        <w:tc>
          <w:tcPr>
            <w:tcW w:w="60" w:type="dxa"/>
            <w:vAlign w:val="bottom"/>
          </w:tcPr>
          <w:p>
            <w:pPr>
              <w:spacing w:after="0"/>
              <w:rPr>
                <w:sz w:val="18"/>
                <w:szCs w:val="18"/>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121,243</w:t>
            </w:r>
          </w:p>
        </w:tc>
        <w:tc>
          <w:tcPr>
            <w:tcW w:w="60" w:type="dxa"/>
            <w:vAlign w:val="bottom"/>
            <w:shd w:val="clear" w:color="auto" w:fill="CCEEFF"/>
          </w:tcPr>
          <w:p>
            <w:pPr>
              <w:spacing w:after="0"/>
              <w:rPr>
                <w:sz w:val="18"/>
                <w:szCs w:val="18"/>
                <w:color w:val="auto"/>
              </w:rPr>
            </w:pPr>
          </w:p>
        </w:tc>
      </w:tr>
      <w:tr>
        <w:trPr>
          <w:trHeight w:val="215"/>
        </w:trPr>
        <w:tc>
          <w:tcPr>
            <w:tcW w:w="8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270,903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8"/>
              </w:rPr>
              <w:t>7.</w:t>
            </w: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LONG-TERM PREPAYMENTS, DEPOSITS AND OTHER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14"/>
        </w:trPr>
        <w:tc>
          <w:tcPr>
            <w:tcW w:w="260" w:type="dxa"/>
            <w:vAlign w:val="bottom"/>
          </w:tcPr>
          <w:p>
            <w:pPr>
              <w:spacing w:after="0"/>
              <w:rPr>
                <w:sz w:val="24"/>
                <w:szCs w:val="24"/>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Long-term prepayments, deposits and other assets consisted of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CCEEFF"/>
            </w:tcBorders>
          </w:tcPr>
          <w:p>
            <w:pPr>
              <w:spacing w:after="0"/>
              <w:rPr>
                <w:sz w:val="17"/>
                <w:szCs w:val="17"/>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Input value-added tax,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28,645</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21,316</w:t>
            </w:r>
          </w:p>
        </w:tc>
        <w:tc>
          <w:tcPr>
            <w:tcW w:w="60" w:type="dxa"/>
            <w:vAlign w:val="bottom"/>
            <w:shd w:val="clear" w:color="auto" w:fill="CCEEFF"/>
          </w:tcPr>
          <w:p>
            <w:pPr>
              <w:spacing w:after="0"/>
              <w:rPr>
                <w:sz w:val="17"/>
                <w:szCs w:val="17"/>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26,891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15,194</w:t>
            </w:r>
          </w:p>
        </w:tc>
      </w:tr>
      <w:tr>
        <w:trPr>
          <w:trHeight w:val="222"/>
        </w:trPr>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Entertainment production costs, net</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25,562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16,833</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Deferred financing costs,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23,071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35,927</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 and advance payments for acquisition of property and equipment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10,899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23,482</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deposits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11,129</w:t>
            </w:r>
          </w:p>
        </w:tc>
        <w:tc>
          <w:tcPr>
            <w:tcW w:w="6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prepayments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603</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Deferred 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7,366</w:t>
            </w:r>
          </w:p>
        </w:tc>
        <w:tc>
          <w:tcPr>
            <w:tcW w:w="6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a sales-type lease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Long-term casino accounts receivable, net of allowances for credit losses of nil and $2,391</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prepayments, deposits and other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129,428</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131,850</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220" w:hanging="410"/>
        <w:spacing w:after="0" w:line="281" w:lineRule="auto"/>
        <w:tabs>
          <w:tab w:leader="none" w:pos="11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Entertainment production costs represent amounts incurred and capitalized for the entertainment show in City of Dreams and are amortized on a straight-line basis over the estimated useful life of the entertainment show of 10</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0960"/>
          </w:cols>
          <w:pgMar w:left="320" w:top="472" w:right="6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PREPAYMENTS, DEPOSITS AND OTHER ASSETS</w:t>
      </w:r>
      <w:r>
        <w:rPr>
          <w:rFonts w:ascii="Times New Roman" w:cs="Times New Roman" w:eastAsia="Times New Roman" w:hAnsi="Times New Roman"/>
          <w:sz w:val="17"/>
          <w:szCs w:val="17"/>
          <w:color w:val="auto"/>
        </w:rPr>
        <w:t xml:space="preserve"> - continued</w:t>
      </w:r>
    </w:p>
    <w:p>
      <w:pPr>
        <w:spacing w:after="0" w:line="138" w:lineRule="exact"/>
        <w:rPr>
          <w:sz w:val="20"/>
          <w:szCs w:val="20"/>
          <w:color w:val="auto"/>
        </w:rPr>
      </w:pPr>
    </w:p>
    <w:p>
      <w:pPr>
        <w:ind w:left="1140" w:right="260"/>
        <w:spacing w:after="0" w:line="268" w:lineRule="auto"/>
        <w:rPr>
          <w:sz w:val="20"/>
          <w:szCs w:val="20"/>
          <w:color w:val="auto"/>
        </w:rPr>
      </w:pPr>
      <w:r>
        <w:rPr>
          <w:rFonts w:ascii="Times New Roman" w:cs="Times New Roman" w:eastAsia="Times New Roman" w:hAnsi="Times New Roman"/>
          <w:sz w:val="16"/>
          <w:szCs w:val="16"/>
          <w:color w:val="auto"/>
        </w:rPr>
        <w:t>years upon the commencement of the show in May 2025. The amortization expense of entertainment production costs recognized for the year ended December 31, 2025 was $1,757. No amortization expenses of such entertainment production costs were recognized during the year ended December 31, 2024.</w:t>
      </w:r>
    </w:p>
    <w:p>
      <w:pPr>
        <w:spacing w:after="0" w:line="89" w:lineRule="exact"/>
        <w:rPr>
          <w:sz w:val="20"/>
          <w:szCs w:val="20"/>
          <w:color w:val="auto"/>
        </w:rPr>
      </w:pPr>
    </w:p>
    <w:p>
      <w:pPr>
        <w:ind w:left="1120" w:right="800" w:hanging="410"/>
        <w:spacing w:after="0" w:line="281" w:lineRule="auto"/>
        <w:tabs>
          <w:tab w:leader="none" w:pos="1120"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casino accounts receivable, net represent receivables from casino customers where settlements are not expected within the next year. Reclassifications to current accounts receivable, net, are made when settlement of such balances are expected to occur within one year.</w:t>
      </w:r>
    </w:p>
    <w:p>
      <w:pPr>
        <w:spacing w:after="0" w:line="307" w:lineRule="exact"/>
        <w:rPr>
          <w:rFonts w:ascii="Times New Roman" w:cs="Times New Roman" w:eastAsia="Times New Roman" w:hAnsi="Times New Roman"/>
          <w:sz w:val="16"/>
          <w:szCs w:val="16"/>
          <w:color w:val="auto"/>
        </w:rPr>
      </w:pPr>
    </w:p>
    <w:p>
      <w:pPr>
        <w:ind w:left="720" w:hanging="428"/>
        <w:spacing w:after="0"/>
        <w:tabs>
          <w:tab w:leader="none" w:pos="720" w:val="left"/>
        </w:tabs>
        <w:numPr>
          <w:ilvl w:val="0"/>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LAND USE RIGHTS, NET</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7"/>
          </w:tcPr>
          <w:p>
            <w:pPr>
              <w:jc w:val="right"/>
              <w:ind w:right="7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8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7"/>
                <w:szCs w:val="17"/>
                <w:color w:val="auto"/>
              </w:rPr>
            </w:pPr>
          </w:p>
        </w:tc>
      </w:tr>
      <w:tr>
        <w:trPr>
          <w:trHeight w:val="20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399,517</w:t>
            </w:r>
          </w:p>
        </w:tc>
        <w:tc>
          <w:tcPr>
            <w:tcW w:w="2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400,427</w:t>
            </w:r>
          </w:p>
        </w:tc>
        <w:tc>
          <w:tcPr>
            <w:tcW w:w="120" w:type="dxa"/>
            <w:vAlign w:val="bottom"/>
            <w:shd w:val="clear" w:color="auto" w:fill="CCEEFF"/>
          </w:tcPr>
          <w:p>
            <w:pPr>
              <w:spacing w:after="0"/>
              <w:rPr>
                <w:sz w:val="17"/>
                <w:szCs w:val="17"/>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81,024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81,209</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Studio City</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653,464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654,954</w:t>
            </w:r>
          </w:p>
        </w:tc>
      </w:tr>
      <w:tr>
        <w:trPr>
          <w:trHeight w:val="215"/>
        </w:trPr>
        <w:tc>
          <w:tcPr>
            <w:tcW w:w="7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1,134,005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1,136,590</w:t>
            </w:r>
          </w:p>
        </w:tc>
        <w:tc>
          <w:tcPr>
            <w:tcW w:w="120" w:type="dxa"/>
            <w:vAlign w:val="bottom"/>
          </w:tcPr>
          <w:p>
            <w:pPr>
              <w:spacing w:after="0"/>
              <w:rPr>
                <w:sz w:val="18"/>
                <w:szCs w:val="18"/>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(588,951)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(570,239)</w:t>
            </w:r>
          </w:p>
        </w:tc>
      </w:tr>
      <w:tr>
        <w:trPr>
          <w:trHeight w:val="21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Land use rights, net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545,054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566,351</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6"/>
          </w:tcPr>
          <w:p>
            <w:pPr>
              <w:ind w:left="54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8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CCEEFF"/>
            </w:tcBorders>
          </w:tcPr>
          <w:p>
            <w:pPr>
              <w:spacing w:after="0"/>
              <w:rPr>
                <w:sz w:val="17"/>
                <w:szCs w:val="17"/>
                <w:color w:val="auto"/>
              </w:rPr>
            </w:pPr>
          </w:p>
        </w:tc>
      </w:tr>
      <w:tr>
        <w:trPr>
          <w:trHeight w:val="20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deposits and ticket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253,338</w:t>
            </w:r>
          </w:p>
        </w:tc>
        <w:tc>
          <w:tcPr>
            <w:tcW w:w="60" w:type="dxa"/>
            <w:vAlign w:val="bottom"/>
            <w:shd w:val="clear" w:color="auto" w:fill="CCEEFF"/>
          </w:tcPr>
          <w:p>
            <w:pPr>
              <w:spacing w:after="0"/>
              <w:rPr>
                <w:sz w:val="17"/>
                <w:szCs w:val="17"/>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Gaming tax and license fee accruals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171,014</w:t>
            </w:r>
          </w:p>
        </w:tc>
        <w:tc>
          <w:tcPr>
            <w:tcW w:w="60" w:type="dxa"/>
            <w:vAlign w:val="bottom"/>
          </w:tcPr>
          <w:p>
            <w:pPr>
              <w:spacing w:after="0"/>
              <w:rPr>
                <w:sz w:val="18"/>
                <w:szCs w:val="18"/>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 and other accruals and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165,975</w:t>
            </w:r>
          </w:p>
        </w:tc>
        <w:tc>
          <w:tcPr>
            <w:tcW w:w="60" w:type="dxa"/>
            <w:vAlign w:val="bottom"/>
            <w:shd w:val="clear" w:color="auto" w:fill="CCEEFF"/>
          </w:tcPr>
          <w:p>
            <w:pPr>
              <w:spacing w:after="0"/>
              <w:rPr>
                <w:sz w:val="18"/>
                <w:szCs w:val="18"/>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Staff cost accruals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123,227</w:t>
            </w:r>
          </w:p>
        </w:tc>
        <w:tc>
          <w:tcPr>
            <w:tcW w:w="60" w:type="dxa"/>
            <w:vAlign w:val="bottom"/>
          </w:tcPr>
          <w:p>
            <w:pPr>
              <w:spacing w:after="0"/>
              <w:rPr>
                <w:sz w:val="18"/>
                <w:szCs w:val="18"/>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payables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115,921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119,026</w:t>
            </w: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gaming chips</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84,853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83,414</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payables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67,027</w:t>
            </w: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liabilities</w:t>
            </w:r>
            <w:r>
              <w:rPr>
                <w:rFonts w:ascii="Times New Roman" w:cs="Times New Roman" w:eastAsia="Times New Roman" w:hAnsi="Times New Roman"/>
                <w:sz w:val="10"/>
                <w:szCs w:val="10"/>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48,765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31,889</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Loyalty program liabilities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31,732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39,108</w:t>
            </w:r>
          </w:p>
        </w:tc>
      </w:tr>
      <w:tr>
        <w:trPr>
          <w:trHeight w:val="215"/>
        </w:trPr>
        <w:tc>
          <w:tcPr>
            <w:tcW w:w="788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Interest rate swap liabilities</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1,076,150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1,054,018</w:t>
            </w:r>
          </w:p>
        </w:tc>
      </w:tr>
      <w:tr>
        <w:trPr>
          <w:trHeight w:val="20"/>
        </w:trPr>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80" w:hanging="410"/>
        <w:spacing w:after="0" w:line="281" w:lineRule="auto"/>
        <w:tabs>
          <w:tab w:leader="none" w:pos="11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non-current portion of the intangible assets liabilities of $254,817 and $270,563, respectively, are included in other long-term liabilities in the accompanying consolidated balance sheets.</w:t>
      </w:r>
    </w:p>
    <w:p>
      <w:pPr>
        <w:spacing w:after="0" w:line="78" w:lineRule="exact"/>
        <w:rPr>
          <w:rFonts w:ascii="Times New Roman" w:cs="Times New Roman" w:eastAsia="Times New Roman" w:hAnsi="Times New Roman"/>
          <w:sz w:val="16"/>
          <w:szCs w:val="16"/>
          <w:color w:val="auto"/>
        </w:rPr>
      </w:pPr>
    </w:p>
    <w:p>
      <w:pPr>
        <w:ind w:left="1120" w:right="120" w:hanging="410"/>
        <w:spacing w:after="0" w:line="262" w:lineRule="auto"/>
        <w:tabs>
          <w:tab w:leader="none" w:pos="11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2025, the Company entered into four floating-for-fixed interest rate swap arrangements to manage interest rate risk on its loans drawn under the MN1 2020 Revolving Facilities as defined in Note 10. Two of the interest rate swap arrangements will expire in July 2026, while the remaining two expire in April 2027. Under the interest rate swap arrangements, the Company pays fixed interest rates and receives variable interest based on the notional amounts. As of December 31, 2025, the aggregate notional amount of the outstanding interest rate swaps amounted to HK$5,880,000 (equivalent to $755,668).</w:t>
      </w:r>
    </w:p>
    <w:p>
      <w:pPr>
        <w:spacing w:after="0" w:line="80" w:lineRule="exact"/>
        <w:rPr>
          <w:sz w:val="20"/>
          <w:szCs w:val="20"/>
          <w:color w:val="auto"/>
        </w:rPr>
      </w:pPr>
    </w:p>
    <w:p>
      <w:pPr>
        <w:ind w:left="1040" w:right="100"/>
        <w:spacing w:after="0" w:line="281" w:lineRule="auto"/>
        <w:rPr>
          <w:sz w:val="20"/>
          <w:szCs w:val="20"/>
          <w:color w:val="auto"/>
        </w:rPr>
      </w:pPr>
      <w:r>
        <w:rPr>
          <w:rFonts w:ascii="Times New Roman" w:cs="Times New Roman" w:eastAsia="Times New Roman" w:hAnsi="Times New Roman"/>
          <w:sz w:val="16"/>
          <w:szCs w:val="16"/>
          <w:color w:val="auto"/>
        </w:rPr>
        <w:t>These interest rate swaps are expected to remain highly effective in fixing the interest rate and qualify for cash flow hedge accounting. Therefore, there is no impact on the consolidated statements of operations from changes in the</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0960"/>
          </w:cols>
          <w:pgMar w:left="320" w:top="472" w:right="6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r>
        <w:rPr>
          <w:rFonts w:ascii="Times New Roman" w:cs="Times New Roman" w:eastAsia="Times New Roman" w:hAnsi="Times New Roman"/>
          <w:sz w:val="17"/>
          <w:szCs w:val="17"/>
          <w:color w:val="auto"/>
        </w:rPr>
        <w:t xml:space="preserve"> - continued</w:t>
      </w:r>
    </w:p>
    <w:p>
      <w:pPr>
        <w:spacing w:after="0" w:line="138" w:lineRule="exact"/>
        <w:rPr>
          <w:sz w:val="20"/>
          <w:szCs w:val="20"/>
          <w:color w:val="auto"/>
        </w:rPr>
      </w:pPr>
    </w:p>
    <w:p>
      <w:pPr>
        <w:ind w:left="1040"/>
        <w:spacing w:after="0" w:line="259" w:lineRule="auto"/>
        <w:rPr>
          <w:sz w:val="20"/>
          <w:szCs w:val="20"/>
          <w:color w:val="auto"/>
        </w:rPr>
      </w:pPr>
      <w:r>
        <w:rPr>
          <w:rFonts w:ascii="Times New Roman" w:cs="Times New Roman" w:eastAsia="Times New Roman" w:hAnsi="Times New Roman"/>
          <w:sz w:val="16"/>
          <w:szCs w:val="16"/>
          <w:color w:val="auto"/>
        </w:rPr>
        <w:t>fair value of the hedging instruments. Instead, the fair values of the hedging instruments are recorded as assets or liabilities on the consolidated balance sheets, with an offsetting adjustment to the accumulated other comprehensive losses until the hedged interest expenses are recognized in the accompanying consolidated statements of operations. As of December 31, 2025, the net fair values of interest rate swaps were recorded as liabilities, of which $4 were included in prepaid expenses and other current assets, $513 were included in accrued expenses and other current liabilities and $236 were included in other long-term liabilities in the accompanying consolidated balance sheets. The Company estimates that over the next twelve months, $509 of the net unrealized losses on the interest rate swaps will be reclassified from accumulated other comprehensive losses into interest expenses and the actual amounts that will be reclassified over the next twelve months may vary from this amount as a result of changes in market conditions. The cash flow impact of the interest rate swaps is included in operating activities in the accompanying consolidated statements of cash flows.</w:t>
      </w:r>
    </w:p>
    <w:p>
      <w:pPr>
        <w:spacing w:after="0" w:line="326" w:lineRule="exact"/>
        <w:rPr>
          <w:sz w:val="20"/>
          <w:szCs w:val="20"/>
          <w:color w:val="auto"/>
        </w:rPr>
      </w:pPr>
    </w:p>
    <w:p>
      <w:pPr>
        <w:ind w:left="720" w:hanging="428"/>
        <w:spacing w:after="0"/>
        <w:tabs>
          <w:tab w:leader="none" w:pos="720" w:val="left"/>
        </w:tabs>
        <w:numPr>
          <w:ilvl w:val="0"/>
          <w:numId w:val="1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Long-term debt, net consisted of the following:</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6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ind w:left="5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36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 xml:space="preserve"> 2025       </w:t>
            </w:r>
          </w:p>
        </w:tc>
        <w:tc>
          <w:tcPr>
            <w:tcW w:w="1040" w:type="dxa"/>
            <w:vAlign w:val="bottom"/>
            <w:tcBorders>
              <w:top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Pr>
          <w:p>
            <w:pPr>
              <w:spacing w:after="0"/>
              <w:rPr>
                <w:sz w:val="17"/>
                <w:szCs w:val="17"/>
                <w:color w:val="auto"/>
              </w:rPr>
            </w:pPr>
          </w:p>
        </w:tc>
      </w:tr>
      <w:tr>
        <w:trPr>
          <w:trHeight w:val="189"/>
        </w:trPr>
        <w:tc>
          <w:tcPr>
            <w:tcW w:w="7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Melco Resorts Related</w:t>
            </w: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w w:val="99"/>
              </w:rPr>
              <w:t>2025</w:t>
            </w:r>
          </w:p>
        </w:tc>
        <w:tc>
          <w:tcPr>
            <w:tcW w:w="7200" w:type="dxa"/>
            <w:vAlign w:val="bottom"/>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4.875% and due 2025 (net of unamortized deferred financing costs and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original issue premiums of nil and $1,732, respectively)</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998,268</w:t>
            </w:r>
          </w:p>
        </w:tc>
        <w:tc>
          <w:tcPr>
            <w:tcW w:w="40" w:type="dxa"/>
            <w:vAlign w:val="bottom"/>
          </w:tcPr>
          <w:p>
            <w:pPr>
              <w:spacing w:after="0"/>
              <w:rPr>
                <w:sz w:val="19"/>
                <w:szCs w:val="19"/>
                <w:color w:val="auto"/>
              </w:rPr>
            </w:pPr>
          </w:p>
        </w:tc>
      </w:tr>
      <w:tr>
        <w:trPr>
          <w:trHeight w:val="191"/>
        </w:trPr>
        <w:tc>
          <w:tcPr>
            <w:tcW w:w="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w w:val="99"/>
              </w:rPr>
              <w:t>2026</w:t>
            </w:r>
          </w:p>
        </w:tc>
        <w:tc>
          <w:tcPr>
            <w:tcW w:w="72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5.250% and due 2026 (net of unamortized deferred financing costs of nil</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7"/>
        </w:trPr>
        <w:tc>
          <w:tcPr>
            <w:tcW w:w="7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$1,256, respectively)</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498,744</w:t>
            </w:r>
          </w:p>
        </w:tc>
        <w:tc>
          <w:tcPr>
            <w:tcW w:w="40" w:type="dxa"/>
            <w:vAlign w:val="bottom"/>
            <w:shd w:val="clear" w:color="auto" w:fill="CCEEFF"/>
          </w:tcPr>
          <w:p>
            <w:pPr>
              <w:spacing w:after="0"/>
              <w:rPr>
                <w:sz w:val="19"/>
                <w:szCs w:val="19"/>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w w:val="99"/>
              </w:rPr>
              <w:t>2027</w:t>
            </w:r>
          </w:p>
        </w:tc>
        <w:tc>
          <w:tcPr>
            <w:tcW w:w="7200" w:type="dxa"/>
            <w:vAlign w:val="bottom"/>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5.625% and due 2027 (net of unamortized deferred financing costs of</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$1,568 and $2,488, respectively)</w:t>
            </w: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598,432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597,512</w:t>
            </w:r>
          </w:p>
        </w:tc>
        <w:tc>
          <w:tcPr>
            <w:tcW w:w="40" w:type="dxa"/>
            <w:vAlign w:val="bottom"/>
          </w:tcPr>
          <w:p>
            <w:pPr>
              <w:spacing w:after="0"/>
              <w:rPr>
                <w:sz w:val="19"/>
                <w:szCs w:val="19"/>
                <w:color w:val="auto"/>
              </w:rPr>
            </w:pPr>
          </w:p>
        </w:tc>
      </w:tr>
      <w:tr>
        <w:trPr>
          <w:trHeight w:val="191"/>
        </w:trPr>
        <w:tc>
          <w:tcPr>
            <w:tcW w:w="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w w:val="99"/>
              </w:rPr>
              <w:t>2028</w:t>
            </w:r>
          </w:p>
        </w:tc>
        <w:tc>
          <w:tcPr>
            <w:tcW w:w="72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5.750% and due 2028 (net of unamortized deferred financing costs and</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7"/>
        </w:trPr>
        <w:tc>
          <w:tcPr>
            <w:tcW w:w="7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original issue premiums of $1,294 and $1,865, respectively)</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848,706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848,135</w:t>
            </w:r>
          </w:p>
        </w:tc>
        <w:tc>
          <w:tcPr>
            <w:tcW w:w="40" w:type="dxa"/>
            <w:vAlign w:val="bottom"/>
            <w:shd w:val="clear" w:color="auto" w:fill="CCEEFF"/>
          </w:tcPr>
          <w:p>
            <w:pPr>
              <w:spacing w:after="0"/>
              <w:rPr>
                <w:sz w:val="19"/>
                <w:szCs w:val="19"/>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w w:val="99"/>
              </w:rPr>
              <w:t>2029</w:t>
            </w:r>
          </w:p>
        </w:tc>
        <w:tc>
          <w:tcPr>
            <w:tcW w:w="7200" w:type="dxa"/>
            <w:vAlign w:val="bottom"/>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5.375% and due 2029 (net of unamortized deferred financing costs and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original issue premiums of $1,073 and $1,407, respectively)</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1,148,927</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1,148,593</w:t>
            </w:r>
          </w:p>
        </w:tc>
        <w:tc>
          <w:tcPr>
            <w:tcW w:w="40" w:type="dxa"/>
            <w:vAlign w:val="bottom"/>
          </w:tcPr>
          <w:p>
            <w:pPr>
              <w:spacing w:after="0"/>
              <w:rPr>
                <w:sz w:val="19"/>
                <w:szCs w:val="19"/>
                <w:color w:val="auto"/>
              </w:rPr>
            </w:pPr>
          </w:p>
        </w:tc>
      </w:tr>
      <w:tr>
        <w:trPr>
          <w:trHeight w:val="191"/>
        </w:trPr>
        <w:tc>
          <w:tcPr>
            <w:tcW w:w="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w w:val="99"/>
              </w:rPr>
              <w:t>2032</w:t>
            </w:r>
          </w:p>
        </w:tc>
        <w:tc>
          <w:tcPr>
            <w:tcW w:w="72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7.625% and due 2032 (net of unamortized deferred financing costs of</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7"/>
        </w:trPr>
        <w:tc>
          <w:tcPr>
            <w:tcW w:w="7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$5,016 and $5,611, respectively)</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744,984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744,389</w:t>
            </w:r>
          </w:p>
        </w:tc>
        <w:tc>
          <w:tcPr>
            <w:tcW w:w="40" w:type="dxa"/>
            <w:vAlign w:val="bottom"/>
            <w:shd w:val="clear" w:color="auto" w:fill="CCEEFF"/>
          </w:tcPr>
          <w:p>
            <w:pPr>
              <w:spacing w:after="0"/>
              <w:rPr>
                <w:sz w:val="19"/>
                <w:szCs w:val="19"/>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w w:val="99"/>
              </w:rPr>
              <w:t>2033</w:t>
            </w:r>
          </w:p>
        </w:tc>
        <w:tc>
          <w:tcPr>
            <w:tcW w:w="7200" w:type="dxa"/>
            <w:vAlign w:val="bottom"/>
          </w:tcPr>
          <w:p>
            <w:pPr>
              <w:ind w:left="40"/>
              <w:spacing w:after="0" w:line="191" w:lineRule="exact"/>
              <w:rPr>
                <w:sz w:val="20"/>
                <w:szCs w:val="20"/>
                <w:color w:val="auto"/>
              </w:rPr>
            </w:pPr>
            <w:r>
              <w:rPr>
                <w:rFonts w:ascii="Times New Roman" w:cs="Times New Roman" w:eastAsia="Times New Roman" w:hAnsi="Times New Roman"/>
                <w:sz w:val="17"/>
                <w:szCs w:val="17"/>
                <w:color w:val="auto"/>
              </w:rPr>
              <w:t>MRF Senior Notes, 6.500% and due 2033 (net of unamortized deferred financing costs of</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$4,454)</w:t>
            </w: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495,546</w:t>
            </w:r>
          </w:p>
        </w:tc>
        <w:tc>
          <w:tcPr>
            <w:tcW w:w="24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MRM 2015 Credit Facilities, due 2026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36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MRM 2015 Term Loan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129</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129</w:t>
            </w:r>
          </w:p>
        </w:tc>
      </w:tr>
      <w:tr>
        <w:trPr>
          <w:trHeight w:val="209"/>
        </w:trPr>
        <w:tc>
          <w:tcPr>
            <w:tcW w:w="756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MN1 2020 Revolving Facilities, due 2027</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886,625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158,305</w:t>
            </w:r>
          </w:p>
        </w:tc>
        <w:tc>
          <w:tcPr>
            <w:tcW w:w="40" w:type="dxa"/>
            <w:vAlign w:val="bottom"/>
            <w:shd w:val="clear" w:color="auto" w:fill="CCEEFF"/>
          </w:tcPr>
          <w:p>
            <w:pPr>
              <w:spacing w:after="0"/>
              <w:rPr>
                <w:sz w:val="18"/>
                <w:szCs w:val="18"/>
                <w:color w:val="auto"/>
              </w:rPr>
            </w:pPr>
          </w:p>
        </w:tc>
      </w:tr>
      <w:tr>
        <w:trPr>
          <w:trHeight w:val="353"/>
        </w:trPr>
        <w:tc>
          <w:tcPr>
            <w:tcW w:w="360" w:type="dxa"/>
            <w:vAlign w:val="bottom"/>
          </w:tcPr>
          <w:p>
            <w:pPr>
              <w:spacing w:after="0"/>
              <w:rPr>
                <w:sz w:val="24"/>
                <w:szCs w:val="24"/>
                <w:color w:val="auto"/>
              </w:rPr>
            </w:pPr>
          </w:p>
        </w:tc>
        <w:tc>
          <w:tcPr>
            <w:tcW w:w="720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F-36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72" w:right="759" w:bottom="1440" w:gutter="0" w:footer="0" w:header="0"/>
        </w:sectPr>
      </w:pPr>
    </w:p>
    <w:bookmarkStart w:id="247" w:name="page248"/>
    <w:bookmarkEnd w:id="2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8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29"/>
        </w:trPr>
        <w:tc>
          <w:tcPr>
            <w:tcW w:w="7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240" w:type="dxa"/>
            <w:vAlign w:val="bottom"/>
          </w:tcPr>
          <w:p>
            <w:pPr>
              <w:jc w:val="center"/>
              <w:ind w:left="1293"/>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40" w:type="dxa"/>
            <w:vAlign w:val="bottom"/>
          </w:tcPr>
          <w:p>
            <w:pPr>
              <w:jc w:val="center"/>
              <w:ind w:left="127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40" w:type="dxa"/>
            <w:vAlign w:val="bottom"/>
          </w:tcPr>
          <w:p>
            <w:pPr>
              <w:jc w:val="center"/>
              <w:ind w:left="127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10.  LONG-TERM DEBT, NET</w:t>
            </w:r>
            <w:r>
              <w:rPr>
                <w:rFonts w:ascii="Times New Roman" w:cs="Times New Roman" w:eastAsia="Times New Roman" w:hAnsi="Times New Roman"/>
                <w:sz w:val="17"/>
                <w:szCs w:val="17"/>
                <w:color w:val="auto"/>
              </w:rPr>
              <w:t xml:space="preserve"> - continued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7"/>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6"/>
          </w:tcPr>
          <w:p>
            <w:pPr>
              <w:jc w:val="right"/>
              <w:ind w:right="54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 xml:space="preserve">    2025       </w:t>
            </w:r>
          </w:p>
        </w:tc>
        <w:tc>
          <w:tcPr>
            <w:tcW w:w="840" w:type="dxa"/>
            <w:vAlign w:val="bottom"/>
            <w:tcBorders>
              <w:top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r>
      <w:tr>
        <w:trPr>
          <w:trHeight w:val="85"/>
        </w:trPr>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09"/>
        </w:trPr>
        <w:tc>
          <w:tcPr>
            <w:tcW w:w="7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Studio City Related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1"/>
        </w:trPr>
        <w:tc>
          <w:tcPr>
            <w:tcW w:w="720" w:type="dxa"/>
            <w:vAlign w:val="bottom"/>
          </w:tcPr>
          <w:p>
            <w:pPr>
              <w:spacing w:after="0"/>
              <w:rPr>
                <w:sz w:val="16"/>
                <w:szCs w:val="16"/>
                <w:color w:val="auto"/>
              </w:rPr>
            </w:pPr>
          </w:p>
        </w:tc>
        <w:tc>
          <w:tcPr>
            <w:tcW w:w="78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2025 SCF Senior Notes, 6.000% and due 2025 (net of unamortized deferred financing costs of nil and $253,</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720" w:type="dxa"/>
            <w:vAlign w:val="bottom"/>
          </w:tcPr>
          <w:p>
            <w:pPr>
              <w:spacing w:after="0"/>
              <w:rPr>
                <w:sz w:val="19"/>
                <w:szCs w:val="19"/>
                <w:color w:val="auto"/>
              </w:rPr>
            </w:pPr>
          </w:p>
        </w:tc>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20" w:type="dxa"/>
            <w:vAlign w:val="bottom"/>
          </w:tcPr>
          <w:p>
            <w:pPr>
              <w:spacing w:after="0"/>
              <w:rPr>
                <w:sz w:val="19"/>
                <w:szCs w:val="19"/>
                <w:color w:val="auto"/>
              </w:rPr>
            </w:pPr>
          </w:p>
        </w:tc>
        <w:tc>
          <w:tcPr>
            <w:tcW w:w="9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221,369</w:t>
            </w:r>
          </w:p>
        </w:tc>
      </w:tr>
      <w:tr>
        <w:trPr>
          <w:trHeight w:val="191"/>
        </w:trPr>
        <w:tc>
          <w:tcPr>
            <w:tcW w:w="720" w:type="dxa"/>
            <w:vAlign w:val="bottom"/>
          </w:tcPr>
          <w:p>
            <w:pPr>
              <w:spacing w:after="0"/>
              <w:rPr>
                <w:sz w:val="16"/>
                <w:szCs w:val="16"/>
                <w:color w:val="auto"/>
              </w:rPr>
            </w:pPr>
          </w:p>
        </w:tc>
        <w:tc>
          <w:tcPr>
            <w:tcW w:w="78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2027 SCC Senior Secured Notes, 7.000% and due 2027 (net of unamortized deferred financing costs of</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720" w:type="dxa"/>
            <w:vAlign w:val="bottom"/>
          </w:tcPr>
          <w:p>
            <w:pPr>
              <w:spacing w:after="0"/>
              <w:rPr>
                <w:sz w:val="19"/>
                <w:szCs w:val="19"/>
                <w:color w:val="auto"/>
              </w:rPr>
            </w:pPr>
          </w:p>
        </w:tc>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$1,596 and $2,862, respectively)</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348,404</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347,138</w:t>
            </w:r>
          </w:p>
        </w:tc>
      </w:tr>
      <w:tr>
        <w:trPr>
          <w:trHeight w:val="191"/>
        </w:trPr>
        <w:tc>
          <w:tcPr>
            <w:tcW w:w="720" w:type="dxa"/>
            <w:vAlign w:val="bottom"/>
          </w:tcPr>
          <w:p>
            <w:pPr>
              <w:spacing w:after="0"/>
              <w:rPr>
                <w:sz w:val="16"/>
                <w:szCs w:val="16"/>
                <w:color w:val="auto"/>
              </w:rPr>
            </w:pPr>
          </w:p>
        </w:tc>
        <w:tc>
          <w:tcPr>
            <w:tcW w:w="78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2028 SCF Senior Notes, 6.500% and due 2028 (net of unamortized deferred financing costs of $1,582 and</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720" w:type="dxa"/>
            <w:vAlign w:val="bottom"/>
          </w:tcPr>
          <w:p>
            <w:pPr>
              <w:spacing w:after="0"/>
              <w:rPr>
                <w:sz w:val="19"/>
                <w:szCs w:val="19"/>
                <w:color w:val="auto"/>
              </w:rPr>
            </w:pPr>
          </w:p>
        </w:tc>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$2,299, respectively)</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498,418</w:t>
            </w:r>
          </w:p>
        </w:tc>
        <w:tc>
          <w:tcPr>
            <w:tcW w:w="18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497,701</w:t>
            </w:r>
          </w:p>
        </w:tc>
      </w:tr>
      <w:tr>
        <w:trPr>
          <w:trHeight w:val="191"/>
        </w:trPr>
        <w:tc>
          <w:tcPr>
            <w:tcW w:w="720" w:type="dxa"/>
            <w:vAlign w:val="bottom"/>
          </w:tcPr>
          <w:p>
            <w:pPr>
              <w:spacing w:after="0"/>
              <w:rPr>
                <w:sz w:val="16"/>
                <w:szCs w:val="16"/>
                <w:color w:val="auto"/>
              </w:rPr>
            </w:pPr>
          </w:p>
        </w:tc>
        <w:tc>
          <w:tcPr>
            <w:tcW w:w="78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2029 SCF Senior Notes, 5.000% and due 2029 (net of unamortized deferred financing costs and original</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720" w:type="dxa"/>
            <w:vAlign w:val="bottom"/>
          </w:tcPr>
          <w:p>
            <w:pPr>
              <w:spacing w:after="0"/>
              <w:rPr>
                <w:sz w:val="19"/>
                <w:szCs w:val="19"/>
                <w:color w:val="auto"/>
              </w:rPr>
            </w:pPr>
          </w:p>
        </w:tc>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issue premiums of $2,318 and $2,990, respectively)</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1,097,682</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1,097,010</w:t>
            </w:r>
          </w:p>
        </w:tc>
        <w:tc>
          <w:tcPr>
            <w:tcW w:w="120" w:type="dxa"/>
            <w:vAlign w:val="bottom"/>
            <w:shd w:val="clear" w:color="auto" w:fill="CCEEFF"/>
          </w:tcPr>
          <w:p>
            <w:pPr>
              <w:spacing w:after="0"/>
              <w:rPr>
                <w:sz w:val="19"/>
                <w:szCs w:val="19"/>
                <w:color w:val="auto"/>
              </w:rPr>
            </w:pPr>
          </w:p>
        </w:tc>
      </w:tr>
      <w:tr>
        <w:trPr>
          <w:trHeight w:val="209"/>
        </w:trPr>
        <w:tc>
          <w:tcPr>
            <w:tcW w:w="7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SCC 2021 Credit Facilities, due 2029</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SCC 2021 Term Loan</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129</w:t>
            </w:r>
          </w:p>
        </w:tc>
      </w:tr>
      <w:tr>
        <w:trPr>
          <w:trHeight w:val="209"/>
        </w:trPr>
        <w:tc>
          <w:tcPr>
            <w:tcW w:w="720" w:type="dxa"/>
            <w:vAlign w:val="bottom"/>
          </w:tcPr>
          <w:p>
            <w:pPr>
              <w:spacing w:after="0"/>
              <w:rPr>
                <w:sz w:val="18"/>
                <w:szCs w:val="18"/>
                <w:color w:val="auto"/>
              </w:rPr>
            </w:pPr>
          </w:p>
        </w:tc>
        <w:tc>
          <w:tcPr>
            <w:tcW w:w="7840" w:type="dxa"/>
            <w:vAlign w:val="bottom"/>
            <w:gridSpan w:val="2"/>
          </w:tcPr>
          <w:p>
            <w:pPr>
              <w:ind w:left="360"/>
              <w:spacing w:after="0" w:line="209" w:lineRule="exact"/>
              <w:rPr>
                <w:sz w:val="20"/>
                <w:szCs w:val="20"/>
                <w:color w:val="auto"/>
              </w:rPr>
            </w:pPr>
            <w:r>
              <w:rPr>
                <w:rFonts w:ascii="Times New Roman" w:cs="Times New Roman" w:eastAsia="Times New Roman" w:hAnsi="Times New Roman"/>
                <w:sz w:val="17"/>
                <w:szCs w:val="17"/>
                <w:color w:val="auto"/>
              </w:rPr>
              <w:t>SCC 2021 Revolving Facility</w:t>
            </w:r>
            <w:r>
              <w:rPr>
                <w:rFonts w:ascii="Times New Roman" w:cs="Times New Roman" w:eastAsia="Times New Roman" w:hAnsi="Times New Roman"/>
                <w:sz w:val="21"/>
                <w:szCs w:val="21"/>
                <w:color w:val="auto"/>
                <w:vertAlign w:val="superscript"/>
              </w:rPr>
              <w:t>(2)</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29,944</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720" w:type="dxa"/>
            <w:vAlign w:val="bottom"/>
          </w:tcPr>
          <w:p>
            <w:pPr>
              <w:spacing w:after="0"/>
              <w:rPr>
                <w:sz w:val="18"/>
                <w:szCs w:val="18"/>
                <w:color w:val="auto"/>
              </w:rPr>
            </w:pPr>
          </w:p>
        </w:tc>
        <w:tc>
          <w:tcPr>
            <w:tcW w:w="784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SCC 2024 Revolving Facilities, due 2029</w:t>
            </w:r>
            <w:r>
              <w:rPr>
                <w:rFonts w:ascii="Times New Roman" w:cs="Times New Roman" w:eastAsia="Times New Roman" w:hAnsi="Times New Roman"/>
                <w:sz w:val="21"/>
                <w:szCs w:val="21"/>
                <w:color w:val="auto"/>
                <w:vertAlign w:val="superscript"/>
              </w:rPr>
              <w:t>(3)</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49,992</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6,747,918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7,157,422</w:t>
            </w:r>
          </w:p>
        </w:tc>
        <w:tc>
          <w:tcPr>
            <w:tcW w:w="120" w:type="dxa"/>
            <w:vAlign w:val="bottom"/>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long-term debt, net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(21,597)</w:t>
            </w:r>
          </w:p>
        </w:tc>
      </w:tr>
      <w:tr>
        <w:trPr>
          <w:trHeight w:val="215"/>
        </w:trPr>
        <w:tc>
          <w:tcPr>
            <w:tcW w:w="7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6,747,918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7,135,825</w:t>
            </w:r>
          </w:p>
        </w:tc>
        <w:tc>
          <w:tcPr>
            <w:tcW w:w="12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460" w:hanging="410"/>
        <w:spacing w:after="0" w:line="281" w:lineRule="auto"/>
        <w:tabs>
          <w:tab w:leader="none" w:pos="11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unamortized deferred financing costs related to the MN1 2020 Revolving Facilities of $15,987 and $27,135, respectively, are included in long-term prepayments, deposits and other assets in the accompanying consolidated balance sheets.</w:t>
      </w:r>
    </w:p>
    <w:p>
      <w:pPr>
        <w:spacing w:after="0" w:line="78" w:lineRule="exact"/>
        <w:rPr>
          <w:rFonts w:ascii="Times New Roman" w:cs="Times New Roman" w:eastAsia="Times New Roman" w:hAnsi="Times New Roman"/>
          <w:sz w:val="16"/>
          <w:szCs w:val="16"/>
          <w:color w:val="auto"/>
        </w:rPr>
      </w:pPr>
    </w:p>
    <w:p>
      <w:pPr>
        <w:ind w:left="1120" w:right="160" w:hanging="410"/>
        <w:spacing w:after="0" w:line="281" w:lineRule="auto"/>
        <w:tabs>
          <w:tab w:leader="none" w:pos="11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unamortized deferred financing costs related to the SCC 2021 Revolving Facility of $248 and $308, respectively, are included in long-term prepayments, deposits and other assets in the accompanying consolidated balance sheets.</w:t>
      </w:r>
    </w:p>
    <w:p>
      <w:pPr>
        <w:spacing w:after="0" w:line="78" w:lineRule="exact"/>
        <w:rPr>
          <w:rFonts w:ascii="Times New Roman" w:cs="Times New Roman" w:eastAsia="Times New Roman" w:hAnsi="Times New Roman"/>
          <w:sz w:val="16"/>
          <w:szCs w:val="16"/>
          <w:color w:val="auto"/>
        </w:rPr>
      </w:pPr>
    </w:p>
    <w:p>
      <w:pPr>
        <w:ind w:left="1120" w:right="640" w:hanging="410"/>
        <w:spacing w:after="0" w:line="281" w:lineRule="auto"/>
        <w:tabs>
          <w:tab w:leader="none" w:pos="11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unamortized deferred financing costs related to the SCC 2024 Revolving Facilities of $6,836 and $8,484, respectively, are included in long-term prepayments, deposits and other assets in the accompanying consolidated balance sheets.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Melco Resorts Related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MRF Senior Notes</w:t>
      </w:r>
    </w:p>
    <w:p>
      <w:pPr>
        <w:spacing w:after="0" w:line="120"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On June 6, 2017, Melco Resorts Finance Limited (“MRF”), a subsidiary of Melco Resorts, issued senior unsecured notes in an aggregate principal amount of $650,000 of 4.875% Senior Notes due June 6, 2025 at an issue price of 100% of the principal amount (the “Initial 2025 MRF Senior Notes”) pursuant to an indenture, dated June 6, 2017 (the “2025 MRF Indenture”) between MRF and a trustee; and on July 3, 2017 further issued senior unsecured notes in an aggregate principal amount of $350,000 of 4.875% Senior Notes due June 6, 2025 at an issue price of 100.75% of the principal amount (the “Additional 2025 MRF Senior Notes”) which were consolidated to form a single series with the Initial 2025 MRF Senior Notes (and together, the “2025 MRF Senior Notes”). The net proceeds from the offering of the Initial 2025 MRF Senior Notes were used to partly fund the redemption of the previous senior notes of MRF and the net proceeds from the offering of the Additional 2025 MRF Senior Notes were used to fully repay the MRM’s prior</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0920"/>
          </w:cols>
          <w:pgMar w:left="320" w:top="467" w:right="6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40" w:hanging="428"/>
        <w:spacing w:after="0" w:line="391" w:lineRule="auto"/>
        <w:tabs>
          <w:tab w:leader="none" w:pos="712" w:val="left"/>
        </w:tabs>
        <w:numPr>
          <w:ilvl w:val="0"/>
          <w:numId w:val="1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Melco Resorts Related</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MRF Senior Notes</w:t>
      </w:r>
      <w:r>
        <w:rPr>
          <w:rFonts w:ascii="Times New Roman" w:cs="Times New Roman" w:eastAsia="Times New Roman" w:hAnsi="Times New Roman"/>
          <w:sz w:val="17"/>
          <w:szCs w:val="17"/>
          <w:color w:val="auto"/>
        </w:rPr>
        <w:t xml:space="preserve"> - continued</w:t>
      </w:r>
    </w:p>
    <w:p>
      <w:pPr>
        <w:jc w:val="both"/>
        <w:ind w:left="7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revolving credit facility. On June 6, 2025, MRF fully redeemed an aggregate principal amount of $1,000,000 under the 2025 MRF Senior Notes at maturity with drawdowns from the MN1 2020 Revolving Facilities (as defined below). The redemption of the 2025 MRF Senior Notes during the year ended December 31, 2025 included certain amounts purchased from a related party as disclosed in Note 21.</w:t>
      </w:r>
    </w:p>
    <w:p>
      <w:pPr>
        <w:spacing w:after="0" w:line="57" w:lineRule="exact"/>
        <w:rPr>
          <w:rFonts w:ascii="Times New Roman" w:cs="Times New Roman" w:eastAsia="Times New Roman" w:hAnsi="Times New Roman"/>
          <w:sz w:val="17"/>
          <w:szCs w:val="17"/>
          <w:b w:val="1"/>
          <w:bCs w:val="1"/>
          <w:color w:val="auto"/>
        </w:rPr>
      </w:pPr>
    </w:p>
    <w:p>
      <w:pPr>
        <w:ind w:left="720" w:right="8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April 26, 2019, MRF issued senior unsecured notes in an aggregate principal amount of $500,000 of 5.250% Senior Notes which would have been due on April 26, 2026 at an issue price of 100% of the principal amount (the “2026 MRF Senior Notes”) pursuant to an indenture, dated April 26, 2019 (the “2026 MRF Indenture”) between MRF and a trustee. The net proceeds from the offering of the 2026 MRF Senior Notes were used to partially repay the MRM 2015 Revolving Facility (as defined below). On September 15, 2025, MRF initiated a conditional cash tender offer (the “2026 MRF Senior Notes Tender Offer”) which expired on September 19, 2025, subject to the terms and conditions, to purchase any or all of the outstanding 2026 MRF Senior Notes. MRF purchased an aggregate principal amount of $142,060 of the 2026 MRF Senior Notes that were validly tendered (and not validly withdrawn) pursuant to the 2026 MRF Senior Notes Tender Offer, and settled the transaction on September 24, 2025. The remaining 2026 MRF Senior Notes with aggregate principal amount of $357,940 were redeemed in full on October 25, 2025. The redemption of the 2026 MRF Senior Notes during the year ended December 31, 2025 included certain amounts purchased from a related party as disclosed in Note 21. In connection with the 2026 MRF Senior Notes Tender Offer and the redemption of the 2026 MRF Senior Notes during the year ended December 31, 2025, the Company recorded a loss on extinguishment of debt of $756 during the year ended December 31, 2025.</w:t>
      </w:r>
    </w:p>
    <w:p>
      <w:pPr>
        <w:spacing w:after="0" w:line="284" w:lineRule="exact"/>
        <w:rPr>
          <w:rFonts w:ascii="Times New Roman" w:cs="Times New Roman" w:eastAsia="Times New Roman" w:hAnsi="Times New Roman"/>
          <w:sz w:val="17"/>
          <w:szCs w:val="17"/>
          <w:b w:val="1"/>
          <w:bCs w:val="1"/>
          <w:color w:val="auto"/>
        </w:rPr>
      </w:pPr>
    </w:p>
    <w:p>
      <w:pPr>
        <w:ind w:left="720" w:right="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17, 2019, MRF issued senior unsecured notes in an aggregate principal amount of $600,000 of 5.625% Senior Notes due July 17, 2027 at an issue price of 100% of the principal amount (the “2027 MRF Senior Notes”) pursuant to an indenture, dated July 17, 2019 (the “2027 MRF Indenture”) between MRF and a trustee. The net proceeds from the offering of the 2027 MRF Senior Notes were used to partially repay the MRM 2015 Revolving Facility.</w:t>
      </w:r>
    </w:p>
    <w:p>
      <w:pPr>
        <w:spacing w:after="0" w:line="64" w:lineRule="exact"/>
        <w:rPr>
          <w:rFonts w:ascii="Times New Roman" w:cs="Times New Roman" w:eastAsia="Times New Roman" w:hAnsi="Times New Roman"/>
          <w:sz w:val="17"/>
          <w:szCs w:val="17"/>
          <w:b w:val="1"/>
          <w:bCs w:val="1"/>
          <w:color w:val="auto"/>
        </w:rPr>
      </w:pPr>
    </w:p>
    <w:p>
      <w:pPr>
        <w:ind w:left="7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21, 2020, MRF issued senior unsecured notes in an aggregate principal amount of $500,000 of 5.750% Senior Notes due July 21, 2028 at an issue price of 100% of the principal amount (the “Initial 2028 MRF Senior Notes”) pursuant to an indenture, dated July 21, 2020 (the “2028 MRF Indenture”) between MRF and a trustee; and on August 11, 2020 further issued senior unsecured notes in an aggregate principal amount of $350,000 of 5.750% Senior Notes due July 21, 2028 at an issue price of 101% of the principal amount (the “Additional 2028 MRF Senior Notes”) which were consolidated to form a single series with the Initial 2028 MRF Senior Notes (and together, the “2028 MRF Senior Notes”). The net proceeds from the offering of the 2028 MRF Senior Notes were partially used to repay the MN1 2020 Revolving Facilities and with the remaining amount used for general corporate purposes.</w:t>
      </w:r>
    </w:p>
    <w:p>
      <w:pPr>
        <w:spacing w:after="0" w:line="68" w:lineRule="exact"/>
        <w:rPr>
          <w:rFonts w:ascii="Times New Roman" w:cs="Times New Roman" w:eastAsia="Times New Roman" w:hAnsi="Times New Roman"/>
          <w:sz w:val="17"/>
          <w:szCs w:val="17"/>
          <w:b w:val="1"/>
          <w:bCs w:val="1"/>
          <w:color w:val="auto"/>
        </w:rPr>
      </w:pPr>
    </w:p>
    <w:p>
      <w:pPr>
        <w:ind w:left="720" w:right="6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4, 2019, MRF issued senior unsecured notes in an aggregate principal amount of $900,000 of 5.375% Senior Notes due December 4, 2029 at an issue price of 100% of the principal amount (the “Initial 2029 MRF Senior Notes”) pursuant to an indenture, dated December 4, 2019 (the “2029 MRF Indenture”) between MRF and a trustee; and on January 21, 2021 further issued senior unsecured notes in an aggregate principal amount of $250,000 of 5.375% Senior Notes due December 4, 2029 at an issue price of 103.25% of the principal amount (the “Additional 2029 MRF Senior Notes”) which were consolidated to form a single series with the Initial 2029 MRF Senior Notes (and together, the “2029 MRF Senior Notes”). The net</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0920"/>
          </w:cols>
          <w:pgMar w:left="320" w:top="472" w:right="6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60" w:hanging="428"/>
        <w:spacing w:after="0" w:line="391" w:lineRule="auto"/>
        <w:tabs>
          <w:tab w:leader="none" w:pos="712" w:val="left"/>
        </w:tabs>
        <w:numPr>
          <w:ilvl w:val="0"/>
          <w:numId w:val="1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Melco Resorts Related</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MRF Senior Notes</w:t>
      </w:r>
      <w:r>
        <w:rPr>
          <w:rFonts w:ascii="Times New Roman" w:cs="Times New Roman" w:eastAsia="Times New Roman" w:hAnsi="Times New Roman"/>
          <w:sz w:val="17"/>
          <w:szCs w:val="17"/>
          <w:color w:val="auto"/>
        </w:rPr>
        <w:t xml:space="preserve"> - continued</w:t>
      </w:r>
    </w:p>
    <w:p>
      <w:pPr>
        <w:ind w:left="720" w:right="2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proceeds from the offering of the Initial 2029 MRF Senior Notes were used to repay the outstanding borrowing of the MRM 2015 Revolving Facility in full and to partially prepay the MRM 2015 Term Loan (as defined below). The net proceeds from the offering of the Additional 2029 MRF Senior Notes were used to fully repay the MN1 2020 Revolving Facilities.</w:t>
      </w:r>
    </w:p>
    <w:p>
      <w:pPr>
        <w:spacing w:after="0" w:line="57" w:lineRule="exact"/>
        <w:rPr>
          <w:rFonts w:ascii="Times New Roman" w:cs="Times New Roman" w:eastAsia="Times New Roman" w:hAnsi="Times New Roman"/>
          <w:sz w:val="17"/>
          <w:szCs w:val="17"/>
          <w:b w:val="1"/>
          <w:bCs w:val="1"/>
          <w:color w:val="auto"/>
        </w:rPr>
      </w:pPr>
    </w:p>
    <w:p>
      <w:pPr>
        <w:jc w:val="both"/>
        <w:ind w:left="720" w:right="6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April 17, 2024, MRF issued senior unsecured notes in an aggregate principal amount of $750,000 of 7.625% Senior Notes due April 17, 2032 at an issue price of 100% of the principal amount (the “2032 MRF Senior Notes”) pursuant to an indenture, dated April 17, 2024 (the “2032 MRF Indenture”) between MRF and a trustee. The net proceeds from the offering of the 2032 MRF Senior Notes were used to partially repay the MN1 2020 Revolving Facilities.</w:t>
      </w:r>
    </w:p>
    <w:p>
      <w:pPr>
        <w:spacing w:after="0" w:line="77" w:lineRule="exact"/>
        <w:rPr>
          <w:rFonts w:ascii="Times New Roman" w:cs="Times New Roman" w:eastAsia="Times New Roman" w:hAnsi="Times New Roman"/>
          <w:sz w:val="17"/>
          <w:szCs w:val="17"/>
          <w:b w:val="1"/>
          <w:bCs w:val="1"/>
          <w:color w:val="auto"/>
        </w:rPr>
      </w:pPr>
    </w:p>
    <w:p>
      <w:pPr>
        <w:ind w:left="720" w:right="1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September 24, 2025, MRF issued senior unsecured notes in an aggregate principal amount of $500,000 of 6.500% Senior Notes due September 24, 2033 at an issue price of 100% of the principal amount (the “2033 MRF Senior Notes”) pursuant to an indenture, dated September 24, 2025 (the “2033 MRF Indenture”) between MRF and a trustee. The net proceeds from the offering of the 2033 MRF Senior Notes were used to settle the 2026 MRF Senior Notes Tender Offer and early redemption of the 2026 MRF Senior Notes as described above.</w:t>
      </w:r>
    </w:p>
    <w:p>
      <w:pPr>
        <w:spacing w:after="0" w:line="64" w:lineRule="exact"/>
        <w:rPr>
          <w:rFonts w:ascii="Times New Roman" w:cs="Times New Roman" w:eastAsia="Times New Roman" w:hAnsi="Times New Roman"/>
          <w:sz w:val="17"/>
          <w:szCs w:val="17"/>
          <w:b w:val="1"/>
          <w:bCs w:val="1"/>
          <w:color w:val="auto"/>
        </w:rPr>
      </w:pPr>
    </w:p>
    <w:p>
      <w:pPr>
        <w:ind w:left="720" w:right="2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2027 MRF Senior Notes, the 2028 MRF Senior Notes, the 2029 MRF Senior Notes, the 2032 MRF Senior Notes and the 2033 MRF Senior Notes, are collectively referred to as the “MRF Senior Notes”. The 2027 MRF Indenture and, together with the 2028 MRF Indenture, the 2029 MRF Indenture, the 2032 MRF Indenture and the 2033 MRF Indenture, are collectively referred to as the “MRF Indentures”.</w:t>
      </w:r>
    </w:p>
    <w:p>
      <w:pPr>
        <w:spacing w:after="0" w:line="57" w:lineRule="exact"/>
        <w:rPr>
          <w:rFonts w:ascii="Times New Roman" w:cs="Times New Roman" w:eastAsia="Times New Roman" w:hAnsi="Times New Roman"/>
          <w:sz w:val="17"/>
          <w:szCs w:val="17"/>
          <w:b w:val="1"/>
          <w:bCs w:val="1"/>
          <w:color w:val="auto"/>
        </w:rPr>
      </w:pPr>
    </w:p>
    <w:p>
      <w:pPr>
        <w:ind w:left="720" w:right="4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no interim principal payments on the MRF Senior Notes and interest is payable semi-annually in arrears on each January 17 and July 17 with respect to the 2027 MRF Senior Notes, on each January 21 and July 21 with respect to the 2028 MRF Senior Notes, on each June 4 and December 4 with respect to the 2029 MRF Senior Notes, on each April 17 and October 17 with respect to the 2032 MRF Senior Notes and on each March 24 and September 24 with respect to the 2033 MRF Senior Notes.</w:t>
      </w:r>
    </w:p>
    <w:p>
      <w:pPr>
        <w:spacing w:after="0" w:line="64" w:lineRule="exact"/>
        <w:rPr>
          <w:rFonts w:ascii="Times New Roman" w:cs="Times New Roman" w:eastAsia="Times New Roman" w:hAnsi="Times New Roman"/>
          <w:sz w:val="17"/>
          <w:szCs w:val="17"/>
          <w:b w:val="1"/>
          <w:bCs w:val="1"/>
          <w:color w:val="auto"/>
        </w:rPr>
      </w:pPr>
    </w:p>
    <w:p>
      <w:pPr>
        <w:ind w:left="720" w:right="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MRF Senior Notes are general obligations of MRF. Each series of the MRF Senior Notes rank equally in right of payment to all existing and future senior indebtedness of MRF, rank senior in right of payment to any existing and future subordinated indebtedness of MRF and are effectively subordinated to all of MRF’s existing and future secured indebtedness to the extent of the value of the assets securing such debt and to the indebtedness of MRF’s subsidiaries. None of MRF’s subsidiaries guarantee the MRF Senior Notes.</w:t>
      </w:r>
    </w:p>
    <w:p>
      <w:pPr>
        <w:spacing w:after="0" w:line="64" w:lineRule="exact"/>
        <w:rPr>
          <w:rFonts w:ascii="Times New Roman" w:cs="Times New Roman" w:eastAsia="Times New Roman" w:hAnsi="Times New Roman"/>
          <w:sz w:val="17"/>
          <w:szCs w:val="17"/>
          <w:b w:val="1"/>
          <w:bCs w:val="1"/>
          <w:color w:val="auto"/>
        </w:rPr>
      </w:pPr>
    </w:p>
    <w:p>
      <w:pPr>
        <w:ind w:left="720" w:right="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of the MRF Indentures contains certain covenants, subject to certain exceptions and conditions, that limit the ability of MRF and its subsidiaries to, among other things, effect a consolidation or merger or sell assets. Each of the MRF Indentures also contains conditions and provides for customary events of default as well as early redemption options available to MRF during certain time periods and redemption options available to the MRF Senior Notes holders in certain events.</w:t>
      </w:r>
    </w:p>
    <w:p>
      <w:pPr>
        <w:spacing w:after="0" w:line="64" w:lineRule="exact"/>
        <w:rPr>
          <w:rFonts w:ascii="Times New Roman" w:cs="Times New Roman" w:eastAsia="Times New Roman" w:hAnsi="Times New Roman"/>
          <w:sz w:val="17"/>
          <w:szCs w:val="17"/>
          <w:b w:val="1"/>
          <w:bCs w:val="1"/>
          <w:color w:val="auto"/>
        </w:rPr>
      </w:pPr>
    </w:p>
    <w:p>
      <w:pPr>
        <w:ind w:left="7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September 2025, MRF entered into two cross-currency swap arrangements to manage the foreign currency exchange rate risk associated with the interest and principal payments under the outstanding 2033 MRF Senior Notes which are denominated in US$. The cross-currency swap exchange predetermined amounts of HK$ for US$ at contractual spot rates based on the aggregate notional amount of $500,000. The fair values of the cross-currency swaps are recorded as assets or liabilities in the accompanying consolidated balance sheets, with the changes in fair value recognized as other income, net in the accompanying consolidated statements of</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0940"/>
          </w:cols>
          <w:pgMar w:left="320" w:top="472" w:right="6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60" w:hanging="428"/>
        <w:spacing w:after="0" w:line="391" w:lineRule="auto"/>
        <w:tabs>
          <w:tab w:leader="none" w:pos="712"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Melco Resorts Related</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MRF Senior Notes</w:t>
      </w:r>
      <w:r>
        <w:rPr>
          <w:rFonts w:ascii="Times New Roman" w:cs="Times New Roman" w:eastAsia="Times New Roman" w:hAnsi="Times New Roman"/>
          <w:sz w:val="17"/>
          <w:szCs w:val="17"/>
          <w:color w:val="auto"/>
        </w:rPr>
        <w:t xml:space="preserve"> - continued</w:t>
      </w:r>
    </w:p>
    <w:p>
      <w:pPr>
        <w:ind w:left="720"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operations, as cross-currency swaps are not designated as hedges. As of December 31, 2025, the net fair values of cross-currency swaps were recorded as liabilities, of which $2,987 were included in prepaid expenses and other current assets and with $5,889 were included in other long-term liabilities in the accompanying consolidated balance sheets. Change in fair value of cross-currency swaps of $2,902 for the year ended December 31, 2025 was reported as an adjustment of cashflow from operating activities in the accompanying consolidated statements of cash flows.</w:t>
      </w:r>
    </w:p>
    <w:p>
      <w:pPr>
        <w:spacing w:after="0" w:line="77"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MRM 2015 Credit Facilities</w:t>
      </w:r>
    </w:p>
    <w:p>
      <w:pPr>
        <w:spacing w:after="0" w:line="120" w:lineRule="exact"/>
        <w:rPr>
          <w:rFonts w:ascii="Times New Roman" w:cs="Times New Roman" w:eastAsia="Times New Roman" w:hAnsi="Times New Roman"/>
          <w:sz w:val="17"/>
          <w:szCs w:val="17"/>
          <w:b w:val="1"/>
          <w:bCs w:val="1"/>
          <w:color w:val="auto"/>
        </w:rPr>
      </w:pPr>
    </w:p>
    <w:p>
      <w:pPr>
        <w:ind w:left="7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19, 2015, MRM (the “Borrower”) entered into a senior secured credit facilities agreement with Bank of China Limited, Macau Branch (in its capacity as the sole lender) (“BOC Macau”) (the “MRM 2015 Credit Facilities”), and following the cancellation of certain of its facilities commitments on May 7, 2020, the available commitments under the term loan facility (the “MRM 2015 Term Loan”) and the multicurrency revolving credit facility (the “MRM 2015 Revolving Facility”) are HK$1,000 (equivalent to $129) each. The MRM 2015 Term Loan and the MRM 2015 Revolving Facility are collateralized by a bank deposit of HK$2,130 (equivalent to $274).</w:t>
      </w:r>
    </w:p>
    <w:p>
      <w:pPr>
        <w:spacing w:after="0" w:line="66"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terms of a waiver letter from BOC Macau to the Borrower dated April 29, 2020 (</w:t>
      </w:r>
    </w:p>
    <w:p>
      <w:pPr>
        <w:spacing w:after="0" w:line="31" w:lineRule="exact"/>
        <w:rPr>
          <w:rFonts w:ascii="Times New Roman" w:cs="Times New Roman" w:eastAsia="Times New Roman" w:hAnsi="Times New Roman"/>
          <w:sz w:val="17"/>
          <w:szCs w:val="17"/>
          <w:b w:val="1"/>
          <w:bCs w:val="1"/>
          <w:color w:val="auto"/>
        </w:rPr>
      </w:pPr>
    </w:p>
    <w:p>
      <w:pPr>
        <w:ind w:left="720" w:right="4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“Waiver Letter”), compliance with certain provisions of the MRM 2015 Credit Facilities were waived and BOC Macau agreed, among other things, to (i) extend the maturity date of the MRM 2015 Credit Facilities to June 24, 2022; (ii) change the repayment date of the MRM 2015 Term Loan to require full repayment on June 24, 2022 from originally being repayable in quarterly installments according to an amortization schedule; (iii) change the interest rate of the borrowings; (iv) waive the requirement to comply with substantially all information undertakings, financial covenants, general undertakings and mandatory prepayment provisions; (v) waive the requirement to make substantially all of the representations; and (vi) waive certain current and/or future defaults and events of default that may arise under the terms of the MRM 2015 Credit Facilities, subject to certain conditions and terms.</w:t>
      </w:r>
    </w:p>
    <w:p>
      <w:pPr>
        <w:spacing w:after="0" w:line="86" w:lineRule="exact"/>
        <w:rPr>
          <w:sz w:val="20"/>
          <w:szCs w:val="20"/>
          <w:color w:val="auto"/>
        </w:rPr>
      </w:pPr>
    </w:p>
    <w:p>
      <w:pPr>
        <w:ind w:left="720" w:right="60"/>
        <w:spacing w:after="0" w:line="263" w:lineRule="auto"/>
        <w:rPr>
          <w:sz w:val="20"/>
          <w:szCs w:val="20"/>
          <w:color w:val="auto"/>
        </w:rPr>
      </w:pPr>
      <w:r>
        <w:rPr>
          <w:rFonts w:ascii="Times New Roman" w:cs="Times New Roman" w:eastAsia="Times New Roman" w:hAnsi="Times New Roman"/>
          <w:sz w:val="17"/>
          <w:szCs w:val="17"/>
          <w:color w:val="auto"/>
        </w:rPr>
        <w:t>Pursuant to the terms of certain extension request letters of the Waiver Letter dated April 6, 2022, December 14, 2022 and June 6, 2024, the maturity date of the MRM 2015 Credit Facilities, and the continuing applicability of the various waivers provided under the Waiver Letter, were further extended to December 31, 2022, June 24, 2024 and June 24, 2026, respectively (the “Extended Termination Date”). The MRM 2015 Term Loan, pursuant to the terms of the Waiver Letter (as amended and extended), is repayable in full on the Extended Termination Date (as amended and extended). Each loan made under the MRM 2015 Revolving Facility is repayable in full on the last day of an agreed upon interest period in respect of the loan, generally ranging from one to six months, or rolling over subject to compliance with certain covenants and satisfaction of conditions precedent.</w:t>
      </w:r>
    </w:p>
    <w:p>
      <w:pPr>
        <w:spacing w:after="0" w:line="69" w:lineRule="exact"/>
        <w:rPr>
          <w:sz w:val="20"/>
          <w:szCs w:val="20"/>
          <w:color w:val="auto"/>
        </w:rPr>
      </w:pPr>
    </w:p>
    <w:p>
      <w:pPr>
        <w:ind w:left="720" w:right="140"/>
        <w:spacing w:after="0" w:line="266" w:lineRule="auto"/>
        <w:rPr>
          <w:sz w:val="20"/>
          <w:szCs w:val="20"/>
          <w:color w:val="auto"/>
        </w:rPr>
      </w:pPr>
      <w:r>
        <w:rPr>
          <w:rFonts w:ascii="Times New Roman" w:cs="Times New Roman" w:eastAsia="Times New Roman" w:hAnsi="Times New Roman"/>
          <w:sz w:val="17"/>
          <w:szCs w:val="17"/>
          <w:color w:val="auto"/>
        </w:rPr>
        <w:t>Borrowings under the MRM 2015 Credit Facilities bore interest at Hong Kong Interbank Offered Rate (“HIBOR”) plus a margin ranging from 1.25% to 2.50% per annum as adjusted in accordance with the leverage ratio in respect of the MRM Borrowing Group (as described below). The Borrower is permitted to select an interest period for borrowings under the MRM 2015 Credit Facilities ranging from one to six months or any other agreed period. Pursuant to the terms of the Waiver Letter, borrowings under the MRM 2015 Credit Facilities bear interest at HIBOR plus a margin of 1% per annum. As of December 31, 2025 and 2024, the interest rate was approximately 4.53% and 5.35% per annum, respectively.</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940"/>
          </w:cols>
          <w:pgMar w:left="320" w:top="472" w:right="6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20" w:hanging="428"/>
        <w:spacing w:after="0" w:line="391" w:lineRule="auto"/>
        <w:tabs>
          <w:tab w:leader="none" w:pos="712"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Melco Resorts Related</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MRM 2015 Credit Facilities</w:t>
      </w:r>
      <w:r>
        <w:rPr>
          <w:rFonts w:ascii="Times New Roman" w:cs="Times New Roman" w:eastAsia="Times New Roman" w:hAnsi="Times New Roman"/>
          <w:sz w:val="17"/>
          <w:szCs w:val="17"/>
          <w:color w:val="auto"/>
        </w:rPr>
        <w:t xml:space="preserve"> - continued</w:t>
      </w:r>
    </w:p>
    <w:p>
      <w:pPr>
        <w:ind w:left="720" w:right="1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indebtedness under the MRM 2015 Credit Facilities is guaranteed by MCO Nominee One Limited (“MN1”), a subsidiary of Melco Resorts and certain of its subsidiaries as defined under the MRM 2015 Credit Facilities (other than the Borrower). Security for the MRM 2015 Credit Facilities includes: a first-priority interest in substantially all assets of the borrowing group which includes the Borrower and certain of its subsidiaries as defined under the MRM 2015 Credit Facilities (the “MRM Borrowing Group”), the issued share capital and equity interests and certain buildings, fixtures and equipment of the MRM Borrowing Group and certain other excluded assets and customary security.</w:t>
      </w:r>
    </w:p>
    <w:p>
      <w:pPr>
        <w:spacing w:after="0" w:line="66" w:lineRule="exact"/>
        <w:rPr>
          <w:rFonts w:ascii="Times New Roman" w:cs="Times New Roman" w:eastAsia="Times New Roman" w:hAnsi="Times New Roman"/>
          <w:sz w:val="17"/>
          <w:szCs w:val="17"/>
          <w:b w:val="1"/>
          <w:bCs w:val="1"/>
          <w:color w:val="auto"/>
        </w:rPr>
      </w:pPr>
    </w:p>
    <w:p>
      <w:pPr>
        <w:ind w:left="720" w:right="6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terms of the Waiver Letter, the provisions that limited certain payments of dividends and other distributions by the MRM Borrowing Group to companies or persons who were not members of the MRM Borrowing Group were waived.</w:t>
      </w:r>
    </w:p>
    <w:p>
      <w:pPr>
        <w:spacing w:after="0" w:line="42" w:lineRule="exact"/>
        <w:rPr>
          <w:rFonts w:ascii="Times New Roman" w:cs="Times New Roman" w:eastAsia="Times New Roman" w:hAnsi="Times New Roman"/>
          <w:sz w:val="17"/>
          <w:szCs w:val="17"/>
          <w:b w:val="1"/>
          <w:bCs w:val="1"/>
          <w:color w:val="auto"/>
        </w:rPr>
      </w:pPr>
    </w:p>
    <w:p>
      <w:pPr>
        <w:ind w:left="7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Under the MRM 2015 Credit Facilities, in the event of a change of control, the Borrower may be required, at the election of any lender under the MRM 2015 Credit Facilities, to repay such lender in full. In addition, termination or rescission of MRM’s concession contract or land concessions would constitute an event of default. As with substantially all of the undertakings and covenants under the MRM 2015 Credit Facilities, however, these provisions are subject to a continuing waiver under the terms of the Waiver Letter.</w:t>
      </w:r>
    </w:p>
    <w:p>
      <w:pPr>
        <w:spacing w:after="0" w:line="64" w:lineRule="exact"/>
        <w:rPr>
          <w:rFonts w:ascii="Times New Roman" w:cs="Times New Roman" w:eastAsia="Times New Roman" w:hAnsi="Times New Roman"/>
          <w:sz w:val="17"/>
          <w:szCs w:val="17"/>
          <w:b w:val="1"/>
          <w:bCs w:val="1"/>
          <w:color w:val="auto"/>
        </w:rPr>
      </w:pPr>
    </w:p>
    <w:p>
      <w:pPr>
        <w:ind w:left="720" w:right="7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Borrower is obligated to pay a commitment fee on the undrawn amount of the MRM 2015 Revolving Facility and recognized loan commitment fees of $1, $1 and $1 during the years ended December 31, 2025, 2024 and 2023, respectively.</w:t>
      </w:r>
    </w:p>
    <w:p>
      <w:pPr>
        <w:spacing w:after="0" w:line="42"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2025, the outstanding principal amount of the MRM 2015 Term Loan and the MRM 2015 Revolving Facility was</w:t>
      </w:r>
    </w:p>
    <w:p>
      <w:pPr>
        <w:spacing w:after="0" w:line="31" w:lineRule="exact"/>
        <w:rPr>
          <w:rFonts w:ascii="Times New Roman" w:cs="Times New Roman" w:eastAsia="Times New Roman" w:hAnsi="Times New Roman"/>
          <w:sz w:val="17"/>
          <w:szCs w:val="17"/>
          <w:b w:val="1"/>
          <w:bCs w:val="1"/>
          <w:color w:val="auto"/>
        </w:rPr>
      </w:pPr>
    </w:p>
    <w:p>
      <w:pPr>
        <w:ind w:left="720" w:right="14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HK$1,000 (equivalent to $129) and nil, respectively, and the available unused borrowing capacity under the MRM 2015 Revolving Facility was HK$1,000 (equivalent to $129) and the outstanding principal amount was included in the non-current portion of long-term debt as of December 31, 2025 given the Company has intent and ability to refinance this short-term obligation on a long-term basis.</w:t>
      </w:r>
    </w:p>
    <w:p>
      <w:pPr>
        <w:spacing w:after="0" w:line="64"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MN1 2020 Revolving Facilities</w:t>
      </w:r>
    </w:p>
    <w:p>
      <w:pPr>
        <w:spacing w:after="0" w:line="120" w:lineRule="exact"/>
        <w:rPr>
          <w:rFonts w:ascii="Times New Roman" w:cs="Times New Roman" w:eastAsia="Times New Roman" w:hAnsi="Times New Roman"/>
          <w:sz w:val="17"/>
          <w:szCs w:val="17"/>
          <w:b w:val="1"/>
          <w:bCs w:val="1"/>
          <w:color w:val="auto"/>
        </w:rPr>
      </w:pPr>
    </w:p>
    <w:p>
      <w:pPr>
        <w:ind w:left="7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April 29, 2020, MN1 entered into a senior unsecured revolving credit facility agreement with a syndicate of banks (the “MN1 2020 Revolving Facilities”) for a HK$14,850,000 (equivalent to $1,915,947) with a term of five years and a maturity date of April 29, 2025. On April 8, 2024, the lenders approved an extension of the maturity date by two years to April 29, 2027. On February 25, 2025, pursuant to the terms under the MN1 2020 Revolving Facilities, an incremental facility of HK$387,500 (equivalent to $49,834) was established to increase the available commitments under the MN1 2020 Revolving Facilities from HK$14,850,000 (equivalent to $1,909,769) to HK$15,237,500 (equivalent to $1,959,603), subject to the satisfaction of certain conditions precedent. Each loan made under the MN1 2020 Revolving Facilities is repayable in full on the last day of an agreed upon interest period in respect of the loan, generally ranging from one to six months, or can be rolled over subject to compliance with certain covenants and satisfaction of conditions precedent. MN1 is also subject to mandatory prepayment requirements in respect of various amounts as specified in the MN1 2020 Revolving Facilities. In the event of a change of control or if MRM’s concession contract or land concessions as defined under the MN1 2020 Revolving Facilities are terminated or otherwise expire on its terms, MN1 may be required, at the election of any lender under the MN1 2020 Revolving Facilities, to repay such lender in full.</w:t>
      </w:r>
    </w:p>
    <w:p>
      <w:pPr>
        <w:spacing w:after="0" w:line="75" w:lineRule="exact"/>
        <w:rPr>
          <w:rFonts w:ascii="Times New Roman" w:cs="Times New Roman" w:eastAsia="Times New Roman" w:hAnsi="Times New Roman"/>
          <w:sz w:val="17"/>
          <w:szCs w:val="17"/>
          <w:b w:val="1"/>
          <w:bCs w:val="1"/>
          <w:color w:val="auto"/>
        </w:rPr>
      </w:pPr>
    </w:p>
    <w:p>
      <w:pPr>
        <w:ind w:left="720" w:right="2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indebtedness under the MN1 2020 Revolving Facilities is guaranteed by MRM and MCO Investments Limited (“MINV”), a subsidiary of Melco Resorts.</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900"/>
          </w:cols>
          <w:pgMar w:left="320" w:top="472" w:right="6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220" w:hanging="428"/>
        <w:spacing w:after="0" w:line="391" w:lineRule="auto"/>
        <w:tabs>
          <w:tab w:leader="none" w:pos="712"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Melco Resorts Related</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MN1 2020 Revolving Facilities</w:t>
      </w:r>
      <w:r>
        <w:rPr>
          <w:rFonts w:ascii="Times New Roman" w:cs="Times New Roman" w:eastAsia="Times New Roman" w:hAnsi="Times New Roman"/>
          <w:sz w:val="17"/>
          <w:szCs w:val="17"/>
          <w:color w:val="auto"/>
        </w:rPr>
        <w:t xml:space="preserve"> - continued</w:t>
      </w:r>
    </w:p>
    <w:p>
      <w:pPr>
        <w:ind w:left="720" w:right="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MN1 2020 Revolving Facilities contain certain covenants customary for such financings including, but not limited to, limitations on, except as permitted (i) incurring additional liens; (ii) incurring additional indebtedness (including guarantees); (iii) the disposal of certain key assets; and (iv) carrying on businesses which are not the permitted business activities of MINV and its subsidiaries. The MN1 2020 Revolving Facilities also contain conditions and events of default customary for such financings and the financial covenants including a leverage ratio, total leverage ratio and interest cover ratio.</w:t>
      </w:r>
    </w:p>
    <w:p>
      <w:pPr>
        <w:spacing w:after="0" w:line="67" w:lineRule="exact"/>
        <w:rPr>
          <w:sz w:val="20"/>
          <w:szCs w:val="20"/>
          <w:color w:val="auto"/>
        </w:rPr>
      </w:pPr>
    </w:p>
    <w:p>
      <w:pPr>
        <w:ind w:left="720" w:right="60"/>
        <w:spacing w:after="0" w:line="260" w:lineRule="auto"/>
        <w:rPr>
          <w:sz w:val="20"/>
          <w:szCs w:val="20"/>
          <w:color w:val="auto"/>
        </w:rPr>
      </w:pPr>
      <w:r>
        <w:rPr>
          <w:rFonts w:ascii="Times New Roman" w:cs="Times New Roman" w:eastAsia="Times New Roman" w:hAnsi="Times New Roman"/>
          <w:sz w:val="17"/>
          <w:szCs w:val="17"/>
          <w:color w:val="auto"/>
        </w:rPr>
        <w:t>On June 29, 2023 (the “Effective Date”), certain provisions of the MN1 2020 Revolving Facilities were amended and restated (the “MN1 2023 Amendment and Restatement”) such that borrowings under the MN1 2020 Revolving Facilities denominated in US$ bear interest at the term Secured Overnight Financing Rate (“SOFR”) plus an applicable credit adjustment spread ranging from 0.06% to 0.20% per annum, as adjusted in accordance with the interest period, and a margin ranging from 1.00% to 2.00% per annum as adjusted in accordance with the leverage ratio in respect of MN1 and certain of its specified subsidiaries. Prior to the Effective Date of the MN1 2023 Amendment and Restatement, borrowings under the MN1 2020 Revolving Facilities denominated in US$ bore interest at the London Interbank Offered Rate plus a margin ranging</w:t>
      </w:r>
    </w:p>
    <w:p>
      <w:pPr>
        <w:spacing w:after="0" w:line="2"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17"/>
          <w:szCs w:val="17"/>
          <w:color w:val="auto"/>
        </w:rPr>
        <w:t>from 1.00% to 2.00% per annum as adjusted in accordance with the leverage ratio in respect of MN1 and certain of its specified subsidiaries. Borrowings under the MN1 2020 Revolving Facilities denominated in HK$ bear interest at HIBOR plus a margin ranging from 1.00% to 2.00% per annum as adjusted in accordance with the leverage ratio in respect of MN1 and certain of its specified subsidiaries. MN1 may select an interest period for borrowings under the MN1 2020 Revolving Facilities ranging from one to six months or any other agreed period. As of December 31, 2025 and 2024, the weighted average interest rate was approximately 4.27% and 5.40% per annum, respectively.</w:t>
      </w:r>
    </w:p>
    <w:p>
      <w:pPr>
        <w:spacing w:after="0" w:line="73" w:lineRule="exact"/>
        <w:rPr>
          <w:sz w:val="20"/>
          <w:szCs w:val="20"/>
          <w:color w:val="auto"/>
        </w:rPr>
      </w:pPr>
    </w:p>
    <w:p>
      <w:pPr>
        <w:ind w:left="720" w:right="140"/>
        <w:spacing w:after="0" w:line="295" w:lineRule="auto"/>
        <w:rPr>
          <w:sz w:val="20"/>
          <w:szCs w:val="20"/>
          <w:color w:val="auto"/>
        </w:rPr>
      </w:pPr>
      <w:r>
        <w:rPr>
          <w:rFonts w:ascii="Times New Roman" w:cs="Times New Roman" w:eastAsia="Times New Roman" w:hAnsi="Times New Roman"/>
          <w:sz w:val="17"/>
          <w:szCs w:val="17"/>
          <w:color w:val="auto"/>
        </w:rPr>
        <w:t>MN1 is obligated to pay a commitment fee on the undrawn amount of the MN1 2020 Revolving Facilities and recognized loan commitment fees of $4,861, $6,769 and $3,954 during the years ended December 31, 2025, 2024 and 2023, respectively.</w:t>
      </w:r>
    </w:p>
    <w:p>
      <w:pPr>
        <w:spacing w:after="0" w:line="42" w:lineRule="exact"/>
        <w:rPr>
          <w:sz w:val="20"/>
          <w:szCs w:val="20"/>
          <w:color w:val="auto"/>
        </w:rPr>
      </w:pPr>
    </w:p>
    <w:p>
      <w:pPr>
        <w:ind w:left="720" w:right="60"/>
        <w:spacing w:after="0" w:line="269" w:lineRule="auto"/>
        <w:rPr>
          <w:sz w:val="20"/>
          <w:szCs w:val="20"/>
          <w:color w:val="auto"/>
        </w:rPr>
      </w:pPr>
      <w:r>
        <w:rPr>
          <w:rFonts w:ascii="Times New Roman" w:cs="Times New Roman" w:eastAsia="Times New Roman" w:hAnsi="Times New Roman"/>
          <w:sz w:val="17"/>
          <w:szCs w:val="17"/>
          <w:color w:val="auto"/>
        </w:rPr>
        <w:t>On August 16, 2022, MN1 received confirmation that the majority of lenders of the MN1 2020 Revolving Facilities consented and agreed to a waiver extension of certain financial condition covenants contained in the facility agreement under the MN1 2020 Revolving Facilities, in respect of the relevant periods ended on the following applicable test dates: (a) March 31, 2023; (b) June 30, 2023; (c) September 30, 2023; (d) December 31, 2023; and (e) March 31, 2024. Such consent became effective on August 17, 2022.</w:t>
      </w:r>
    </w:p>
    <w:p>
      <w:pPr>
        <w:spacing w:after="0" w:line="65" w:lineRule="exact"/>
        <w:rPr>
          <w:sz w:val="20"/>
          <w:szCs w:val="20"/>
          <w:color w:val="auto"/>
        </w:rPr>
      </w:pPr>
    </w:p>
    <w:p>
      <w:pPr>
        <w:ind w:left="720" w:right="100"/>
        <w:spacing w:after="0" w:line="276" w:lineRule="auto"/>
        <w:rPr>
          <w:sz w:val="20"/>
          <w:szCs w:val="20"/>
          <w:color w:val="auto"/>
        </w:rPr>
      </w:pPr>
      <w:r>
        <w:rPr>
          <w:rFonts w:ascii="Times New Roman" w:cs="Times New Roman" w:eastAsia="Times New Roman" w:hAnsi="Times New Roman"/>
          <w:sz w:val="17"/>
          <w:szCs w:val="17"/>
          <w:color w:val="auto"/>
        </w:rPr>
        <w:t>In June 2025, MN1 entered into four interest rate swap arrangements to hedge the interest rate exposure on loans under the MN1 2020 Revolving Facilities carried at variable interest rate. The Company’s outstanding interest rate swap arrangements as of December 31, 2025 are disclosed in Note 9.</w:t>
      </w:r>
    </w:p>
    <w:p>
      <w:pPr>
        <w:spacing w:after="0" w:line="57" w:lineRule="exact"/>
        <w:rPr>
          <w:sz w:val="20"/>
          <w:szCs w:val="20"/>
          <w:color w:val="auto"/>
        </w:rPr>
      </w:pPr>
    </w:p>
    <w:p>
      <w:pPr>
        <w:jc w:val="both"/>
        <w:ind w:left="720" w:right="120"/>
        <w:spacing w:after="0" w:line="276" w:lineRule="auto"/>
        <w:rPr>
          <w:sz w:val="20"/>
          <w:szCs w:val="20"/>
          <w:color w:val="auto"/>
        </w:rPr>
      </w:pPr>
      <w:r>
        <w:rPr>
          <w:rFonts w:ascii="Times New Roman" w:cs="Times New Roman" w:eastAsia="Times New Roman" w:hAnsi="Times New Roman"/>
          <w:sz w:val="17"/>
          <w:szCs w:val="17"/>
          <w:color w:val="auto"/>
        </w:rPr>
        <w:t>As of December 31, 2025, the outstanding principal amount of the MN1 2020 Revolving Facilities was HK$6,899,000 (equivalent to $886,625), and the available unused borrowing capacity under the MN1 2020 Revolving Facilities was HK$8,338,500 (equivalent to $1,071,622), subject to the satisfaction of certain conditions precedent.</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Studio City Related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SCF Senior Notes</w:t>
      </w:r>
    </w:p>
    <w:p>
      <w:pPr>
        <w:spacing w:after="0" w:line="120" w:lineRule="exact"/>
        <w:rPr>
          <w:sz w:val="20"/>
          <w:szCs w:val="20"/>
          <w:color w:val="auto"/>
        </w:rPr>
      </w:pPr>
    </w:p>
    <w:p>
      <w:pPr>
        <w:ind w:left="720" w:right="680"/>
        <w:spacing w:after="0" w:line="295" w:lineRule="auto"/>
        <w:rPr>
          <w:sz w:val="20"/>
          <w:szCs w:val="20"/>
          <w:color w:val="auto"/>
        </w:rPr>
      </w:pPr>
      <w:r>
        <w:rPr>
          <w:rFonts w:ascii="Times New Roman" w:cs="Times New Roman" w:eastAsia="Times New Roman" w:hAnsi="Times New Roman"/>
          <w:sz w:val="17"/>
          <w:szCs w:val="17"/>
          <w:color w:val="auto"/>
        </w:rPr>
        <w:t>On July 15, 2020, Studio City Finance Limited (“SCF”), a subsidiary of Melco Resorts, issued two series of senior unsecured notes in an aggregate principal amount of $1,000,000, consisting of $500,000 of 6.000%</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0940"/>
          </w:cols>
          <w:pgMar w:left="320" w:top="472" w:right="6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60" w:hanging="428"/>
        <w:spacing w:after="0" w:line="385" w:lineRule="auto"/>
        <w:tabs>
          <w:tab w:leader="none" w:pos="712"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Studio City Related</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SCF Senior Notes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8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Senior Notes due July 15, 2025 at an issue price of 100% of the principal amount (the “2025 SCF Senior Notes”) and $500,000 of 6.500% Senior Notes due January 15, 2028 at an issue price of 100% of the principal amount (the “2028 SCF Senior Notes”) pursuant to an indenture, dated July 15, 2020 (the “2025 SCF Indenture”) among SCF, the guarantors and the trustee. The net proceeds from the offering of the 2025 SCF Senior Notes and the 2028 SCF Senior Notes were partially used to redeem in full the previous senior secured notes of Studio City Company Limited (“SCC”), a subsidiary of Melco Resorts, with the remaining amount used for capital expenditures of the remaining development project at Studio City.</w:t>
      </w:r>
    </w:p>
    <w:p>
      <w:pPr>
        <w:spacing w:after="0" w:line="279" w:lineRule="exact"/>
        <w:rPr>
          <w:rFonts w:ascii="Times New Roman" w:cs="Times New Roman" w:eastAsia="Times New Roman" w:hAnsi="Times New Roman"/>
          <w:sz w:val="17"/>
          <w:szCs w:val="17"/>
          <w:b w:val="1"/>
          <w:bCs w:val="1"/>
          <w:color w:val="auto"/>
        </w:rPr>
      </w:pPr>
    </w:p>
    <w:p>
      <w:pPr>
        <w:ind w:left="7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9, 2023, SCF initiated a cash tender offer (the “2025 SCF Senior Notes Tender Offer (2023)”) which expired on December 8, 2023, subject to the terms and conditions, to purchase for up to an aggregate principal amount of $75,000 of the 2025 SCF Senior Notes and was subsequently amended to increase to $100,000 (the maximum tender amount). SCF purchased an aggregate principal amount of $100,000 of the 2025 SCF Senior Notes that were validly tendered (and not validly withdrawn) pursuant to the 2025 SCF Senior Notes Tender Offer (2023), as amended, and settled the transaction on November 28, 2023. On April 8, 2024, SCF initiated a cash tender offer (the “2025 SCF Senior Notes Tender Offer (2024)”) which expired on May 6, 2024, subject to the terms and conditions, to purchase for up to an aggregate principal amount of $100,000 of the outstanding 2025 SCF Senior Notes and was subsequently amended to increase to $100,029 (the maximum tender amount). SCF purchased an aggregate principal amount of $100,029 of the 2025 SCF Senior Notes that were validly tendered (and not validly withdrawn) pursuant to the 2025 SCF Senior Notes Tender Offer (2024), as amended, and settled the transaction on April 24, 2024. Other than the 2025 SCF Senior Notes Tender Offer (2023) and the 2025 SCF Senior Notes Tender Offer (2024), SCF repurchased an aggregate principal amount of $75,349 and $3,000 of the 2025 SCF Senior Notes during the years ended December 31, 2024 and 2023, respectively. The 2025 SCF Senior Notes Tender Offer (2023), the 2025 SCF Senior Notes Tender Offer (2024) and repurchases of the 2025 SCF Senior Notes during the years ended December 31, 2024 and 2023 included certain amounts purchased from related parties as disclosed in Note 21. In connection with the 2025 SCF Senior Notes Tender Offer (2023) and the 2025 SCF Senior Notes Tender Offer (2024), and the repurchases of the 2025 SCF Senior Notes during the years ended December 31, 2024 and 2023, the Company recorded a loss on extinguishment of debt of $1,000 and a gain on extinguishment of debt of $1,611 during the years ended December 31, 2024 and 2023, respectively. On July 15, 2025, SCF fully redeemed the outstanding principal amount of the 2025 SCF Senior Notes of $221,622 at maturity with funds drawn from SCC Credit Facilities (as defined below) and cash on hand. The redemption of the 2025 SCF Senior Notes during the year ended December 31, 2025 included certain amounts purchased from a related party as disclosed in Note 21.</w:t>
      </w:r>
    </w:p>
    <w:p>
      <w:pPr>
        <w:spacing w:after="0" w:line="294" w:lineRule="exact"/>
        <w:rPr>
          <w:rFonts w:ascii="Times New Roman" w:cs="Times New Roman" w:eastAsia="Times New Roman" w:hAnsi="Times New Roman"/>
          <w:sz w:val="17"/>
          <w:szCs w:val="17"/>
          <w:b w:val="1"/>
          <w:bCs w:val="1"/>
          <w:color w:val="auto"/>
        </w:rPr>
      </w:pPr>
    </w:p>
    <w:p>
      <w:pPr>
        <w:ind w:left="720" w:right="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14, 2021, SCF issued senior unsecured notes in an aggregate principal amount of $750,000 of 5.000% Senior Notes due January 15, 2029 at an issue price of 100% of the principal amount (the “Initial 2029 SCF Senior Notes”) pursuant to an indenture, dated January 14, 2021 (the “2029 SCF Indenture”); and on May 20, 2021 further issued senior unsecured notes in an aggregate principal amount of $350,000 of 5.000% Senior Notes due January 15, 2029 at an issue price of 101.50% of the principal amount (the “Additional 2029 SCF Senior Notes”) which were consolidated to form a single series with the Initial 2029 SCF Senior Notes (and together, the “2029 SCF Senior Notes”). The net proceeds from the offering of the Initial 2029 SCF Senior Notes were primarily used to fund the conditional tender offer and the remaining outstanding balance with accrued interest of previous senior notes of SCF in February 2021. The net proceeds from the offering of the Additional 2029 SCF Senior Notes were used to partially fund the capital expenditures of the remaining development project at Studio City and for general corporate purposes.</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940"/>
          </w:cols>
          <w:pgMar w:left="320" w:top="472" w:right="6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40" w:hanging="428"/>
        <w:spacing w:after="0" w:line="385" w:lineRule="auto"/>
        <w:tabs>
          <w:tab w:leader="none" w:pos="712"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Studio City Related</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SCF Senior Notes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2028 SCF Senior Notes and the 2029 SCF Senior Notes, are collectively referred to as the “SCF Senior Notes”. The 2025 SCF Indenture and the 2029 SCF Indenture, are collectively referred to as the “SCF Indentures”.</w:t>
      </w:r>
    </w:p>
    <w:p>
      <w:pPr>
        <w:spacing w:after="0" w:line="42" w:lineRule="exact"/>
        <w:rPr>
          <w:rFonts w:ascii="Times New Roman" w:cs="Times New Roman" w:eastAsia="Times New Roman" w:hAnsi="Times New Roman"/>
          <w:sz w:val="17"/>
          <w:szCs w:val="17"/>
          <w:b w:val="1"/>
          <w:bCs w:val="1"/>
          <w:color w:val="auto"/>
        </w:rPr>
      </w:pPr>
    </w:p>
    <w:p>
      <w:pPr>
        <w:ind w:left="720" w:right="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no interim principal payments on the SCF Senior Notes and interest is payable semi-annually in arrears on each January 15 and July 15 with respect to each series of the SCF Senior Notes.</w:t>
      </w:r>
    </w:p>
    <w:p>
      <w:pPr>
        <w:spacing w:after="0" w:line="42" w:lineRule="exact"/>
        <w:rPr>
          <w:rFonts w:ascii="Times New Roman" w:cs="Times New Roman" w:eastAsia="Times New Roman" w:hAnsi="Times New Roman"/>
          <w:sz w:val="17"/>
          <w:szCs w:val="17"/>
          <w:b w:val="1"/>
          <w:bCs w:val="1"/>
          <w:color w:val="auto"/>
        </w:rPr>
      </w:pPr>
    </w:p>
    <w:p>
      <w:pPr>
        <w:ind w:left="7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SCF Senior Notes are general obligations of SCF. Each series of the SCF Senior Notes rank equally in right of payment to all existing and future senior indebtedness of SCF, rank senior in right of payment to any existing and future subordinated indebtedness of SCF and are effectively subordinated to all of SCF’s existing and future secured indebtedness (to the extent of the value of the property and assets securing such indebtedness).</w:t>
      </w:r>
    </w:p>
    <w:p>
      <w:pPr>
        <w:spacing w:after="0" w:line="64" w:lineRule="exact"/>
        <w:rPr>
          <w:rFonts w:ascii="Times New Roman" w:cs="Times New Roman" w:eastAsia="Times New Roman" w:hAnsi="Times New Roman"/>
          <w:sz w:val="17"/>
          <w:szCs w:val="17"/>
          <w:b w:val="1"/>
          <w:bCs w:val="1"/>
          <w:color w:val="auto"/>
        </w:rPr>
      </w:pPr>
    </w:p>
    <w:p>
      <w:pPr>
        <w:ind w:left="720" w:right="4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of the existing subsidiaries of SCF and any other future restricted subsidiaries that provide guarantees of certain specified indebtedness (the “SCF Senior Notes Guarantors”) jointly, severally and unconditionally guarantee the SCF Senior Notes on a senior basis (the “SCF Senior Notes Guarantees”). The SCF Senior Notes Guarantees are general obligations of the SCF Senior Notes Guarantors, rank equally in right of payment to all existing and future senior indebtedness of the SCF Senior Notes Guarantors and rank senior in right of payment to any existing and future subordinated indebtedness of the SCF Senior Notes Guarantors. The SCF Senior Notes Guarantees are effectively subordinated to the SCF Senior Notes Guarantors’ obligations under all existing and any future secured indebtedness (to the extent of the value of such property and assets securing such indebtedness).</w:t>
      </w:r>
    </w:p>
    <w:p>
      <w:pPr>
        <w:spacing w:after="0" w:line="68" w:lineRule="exact"/>
        <w:rPr>
          <w:rFonts w:ascii="Times New Roman" w:cs="Times New Roman" w:eastAsia="Times New Roman" w:hAnsi="Times New Roman"/>
          <w:sz w:val="17"/>
          <w:szCs w:val="17"/>
          <w:b w:val="1"/>
          <w:bCs w:val="1"/>
          <w:color w:val="auto"/>
        </w:rPr>
      </w:pPr>
    </w:p>
    <w:p>
      <w:pPr>
        <w:ind w:left="7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of the SCF Indentures contains certain covenants, subject to certain exceptions and conditions, that limit the ability of SCF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affiliates; and (viii) effect a consolidation or merger. Each of the SCF Indentures also contains conditions and provides for customary events of default as well as early redemption options available to SCF during certain time periods and redemption options available to the SCF Senior Notes holders in certain events.</w:t>
      </w:r>
    </w:p>
    <w:p>
      <w:pPr>
        <w:spacing w:after="0" w:line="68" w:lineRule="exact"/>
        <w:rPr>
          <w:rFonts w:ascii="Times New Roman" w:cs="Times New Roman" w:eastAsia="Times New Roman" w:hAnsi="Times New Roman"/>
          <w:sz w:val="17"/>
          <w:szCs w:val="17"/>
          <w:b w:val="1"/>
          <w:bCs w:val="1"/>
          <w:color w:val="auto"/>
        </w:rPr>
      </w:pPr>
    </w:p>
    <w:p>
      <w:pPr>
        <w:ind w:left="720" w:right="1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provisions under each of the SCF Indentures that limit or prohibit certain payments of dividends and other distributions by SCF and its restricted subsidiaries to companies or persons who are not SCF or its restricted subsidiaries, subject to certain exceptions and conditions. As of December 31, 2025, the net assets of SCF and its restricted subsidiaries of approximately $584,000 were restricted from being distributed under the terms of the SCF Senior Notes.</w:t>
      </w:r>
    </w:p>
    <w:p>
      <w:pPr>
        <w:spacing w:after="0" w:line="62"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SCC Senior Secured Notes</w:t>
      </w:r>
    </w:p>
    <w:p>
      <w:pPr>
        <w:spacing w:after="0" w:line="120" w:lineRule="exact"/>
        <w:rPr>
          <w:rFonts w:ascii="Times New Roman" w:cs="Times New Roman" w:eastAsia="Times New Roman" w:hAnsi="Times New Roman"/>
          <w:sz w:val="17"/>
          <w:szCs w:val="17"/>
          <w:b w:val="1"/>
          <w:bCs w:val="1"/>
          <w:color w:val="auto"/>
        </w:rPr>
      </w:pPr>
    </w:p>
    <w:p>
      <w:pPr>
        <w:ind w:left="720" w:right="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16, 2022, SCC issued senior secured notes in an aggregate principal amount of $350,000 of 7.000% Senior Notes due February 15, 2027 at an issue price of 100% of the principal amount (the “2027 SCC Senior Secured Notes”) pursuant to an indenture, dated February 16, 2022 (the “2027 SCC Indenture”) among SCC, the guarantors and the trustee. The net proceeds from the offering of the 2027 SCC Senior Secured Notes were used to fund the capital expenditures of the remaining development project at Studio City and for general corporate purposes.</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F-44</w:t>
      </w:r>
    </w:p>
    <w:p>
      <w:pPr>
        <w:sectPr>
          <w:pgSz w:w="11900" w:h="16838" w:orient="portrait"/>
          <w:cols w:equalWidth="0" w:num="1">
            <w:col w:w="10920"/>
          </w:cols>
          <w:pgMar w:left="320" w:top="472" w:right="6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40" w:hanging="428"/>
        <w:spacing w:after="0" w:line="385" w:lineRule="auto"/>
        <w:tabs>
          <w:tab w:leader="none" w:pos="712"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Studio City Related</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SCC Senior Secured Notes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70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no interim principal payments on the 2027 SCC Senior Secured Notes and interest is payable semi-annually in arrears on each February 15 and August 15.</w:t>
      </w:r>
    </w:p>
    <w:p>
      <w:pPr>
        <w:spacing w:after="0" w:line="42" w:lineRule="exact"/>
        <w:rPr>
          <w:rFonts w:ascii="Times New Roman" w:cs="Times New Roman" w:eastAsia="Times New Roman" w:hAnsi="Times New Roman"/>
          <w:sz w:val="17"/>
          <w:szCs w:val="17"/>
          <w:b w:val="1"/>
          <w:bCs w:val="1"/>
          <w:color w:val="auto"/>
        </w:rPr>
      </w:pPr>
    </w:p>
    <w:p>
      <w:pPr>
        <w:ind w:left="720" w:right="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2027 SCC Senior Secured Notes are senior secured obligations of SCC, rank equally in right of payment to all existing and future senior indebtedness of SCC (although any liabilities in respect of obligations under the SCC Credit Facilities that are secured by common collateral securing the 2027 SCC Senior Secured Notes will have priority over the 2027 SCC Senior Secured Notes with respect to any proceeds received upon any enforcement action of such common collateral) and rank senior in right of payment to any existing and future subordinated indebtedness of SCC and are effectively subordinated to SCC’s existing and future secured indebtedness that is secured by assets that do not secure the 2027 SCC Senior Secured Notes, to the extent of the assets securing such indebtedness.</w:t>
      </w:r>
    </w:p>
    <w:p>
      <w:pPr>
        <w:spacing w:after="0" w:line="68" w:lineRule="exact"/>
        <w:rPr>
          <w:rFonts w:ascii="Times New Roman" w:cs="Times New Roman" w:eastAsia="Times New Roman" w:hAnsi="Times New Roman"/>
          <w:sz w:val="17"/>
          <w:szCs w:val="17"/>
          <w:b w:val="1"/>
          <w:bCs w:val="1"/>
          <w:color w:val="auto"/>
        </w:rPr>
      </w:pPr>
    </w:p>
    <w:p>
      <w:pPr>
        <w:ind w:left="7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Studio City Investments Limited (“SCI”), a subsidiary of Melco Resorts, all of its existing subsidiaries (other than SCC) and any other future restricted subsidiaries that provide guarantees of certain specified indebtedness (including the SCC Credit Facilities) (the “2027 SCC Senior Secured Notes Guarantors”) jointly, severally and unconditionally guarantee the 2027 SCC Senior Secured Notes on a senior basis (the “2027 SCC Senior Secured Notes Guarantees”). The 2027 SCC Senior Secured Notes Guarantees are senior obligations of the 2027 SCC Senior Secured Notes Guarantors, rank equally in right of payment to all existing and future senior indebtedness of the 2027 SCC Senior Secured Notes Guarantors and rank senior in right of payment to any existing and future subordinated indebtedness of the 2027 SCC Senior Secured Notes Guarantors. The 2027 SCC Senior Secured Notes Guarantees are pari passu to the 2027 SCC Senior Secured Notes Guarantors’ obligations under the SCC Credit Facilities, and effectively subordinated to any future secured indebtedness that is secured by assets that do not secure the 2027 SCC Senior Secured Notes and the 2027 SCC Senior Secured Notes Guarantees, to the extent of the value of the assets.</w:t>
      </w:r>
    </w:p>
    <w:p>
      <w:pPr>
        <w:spacing w:after="0" w:line="73" w:lineRule="exact"/>
        <w:rPr>
          <w:rFonts w:ascii="Times New Roman" w:cs="Times New Roman" w:eastAsia="Times New Roman" w:hAnsi="Times New Roman"/>
          <w:sz w:val="17"/>
          <w:szCs w:val="17"/>
          <w:b w:val="1"/>
          <w:bCs w:val="1"/>
          <w:color w:val="auto"/>
        </w:rPr>
      </w:pPr>
    </w:p>
    <w:p>
      <w:pPr>
        <w:ind w:left="720"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2027 SCC Senior Secured Notes are secured, on an equal basis with the SCC Credit Facilities, by substantially all of the material assets of SCI and its subsidiaries (although obligations under the SCC Credit Facilities that are secured by the common collateral securing the 2027 SCC Senior Secured Notes will have priority over the 2027 SCC Senior Secured Notes with respect to any proceeds received upon any enforcement action of such common collateral); in addition, in line with the SCC Credit Facilities, the 2027 SCC Senior Secured Notes are also secured by certain specified bank accounts.</w:t>
      </w:r>
    </w:p>
    <w:p>
      <w:pPr>
        <w:spacing w:after="0" w:line="66" w:lineRule="exact"/>
        <w:rPr>
          <w:rFonts w:ascii="Times New Roman" w:cs="Times New Roman" w:eastAsia="Times New Roman" w:hAnsi="Times New Roman"/>
          <w:sz w:val="17"/>
          <w:szCs w:val="17"/>
          <w:b w:val="1"/>
          <w:bCs w:val="1"/>
          <w:color w:val="auto"/>
        </w:rPr>
      </w:pPr>
    </w:p>
    <w:p>
      <w:pPr>
        <w:ind w:left="7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2027 SCC Indenture contains certain covenants, subject to certain exceptions and conditions, that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2027 SCC Indenture also contains conditions and provides for customary events of default as well as early redemption options available to SCC during certain time periods and redemption options available to the 2027 SCC Senior Secured Notes holders in certain events.</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0920"/>
          </w:cols>
          <w:pgMar w:left="320" w:top="472" w:right="6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80" w:hanging="428"/>
        <w:spacing w:after="0" w:line="385" w:lineRule="auto"/>
        <w:tabs>
          <w:tab w:leader="none" w:pos="712"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Studio City Related</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SCC Senior Secured Notes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4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provisions under the 2027 SCC Indenture that limit or prohibit certain payments of dividends and other distributions by SCC, SCI and their respective restricted subsidiaries to companies or persons who are not SCC, SCI and their respective restricted subsidiaries, subject to certain exceptions and conditions. As of December 31, 2025, the net assets of SCI and its restricted subsidiaries of approximately $511,000 were restricted from being distributed under the terms of the 2027 SCC Senior Secured Notes.</w:t>
      </w:r>
    </w:p>
    <w:p>
      <w:pPr>
        <w:spacing w:after="0" w:line="62"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SCC Credit Facilities</w:t>
      </w:r>
    </w:p>
    <w:p>
      <w:pPr>
        <w:spacing w:after="0" w:line="120" w:lineRule="exact"/>
        <w:rPr>
          <w:rFonts w:ascii="Times New Roman" w:cs="Times New Roman" w:eastAsia="Times New Roman" w:hAnsi="Times New Roman"/>
          <w:sz w:val="17"/>
          <w:szCs w:val="17"/>
          <w:b w:val="1"/>
          <w:bCs w:val="1"/>
          <w:color w:val="auto"/>
        </w:rPr>
      </w:pPr>
    </w:p>
    <w:p>
      <w:pPr>
        <w:ind w:left="7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15, 2021, SCC (the “SC Borrower”) amended the terms of its prior senior secured credit facilities agreement entered into with a syndicate of banks, including the extension of the maturity date of the HK$234,000 (equivalent to $30,077) senior secured credit facilities (the “SCC 2021 Credit Facilities”), comprising a HK$1,000 (equivalent to $129) term loan facility (the “SCC 2021 Term Loan”) and a HK$233,000 (equivalent to $29,948) revolving credit facility (the “SCC 2021 Revolving Facility”) to January 15, 2028. Changes have also been made to the covenants in order to align them with those of certain other financings at SCF, including amending the threshold sizes and measurement dates of the covenants. On November 29, 2024, SCC further amended the terms of the SCC 2021 Credit Facilities (the “SCC 2024 Amendment and Restatement”), including but not limited to the extension of the maturity date to August 29, 2029 and the change of interest margin. The SCC 2021 Term Loan shall be repaid on August 29, 2029 with no interim amortization payments. The SCC 2021 Revolving Facility is available up to the date that is one month prior to August 29, 2029.</w:t>
      </w:r>
    </w:p>
    <w:p>
      <w:pPr>
        <w:spacing w:after="0" w:line="73" w:lineRule="exact"/>
        <w:rPr>
          <w:rFonts w:ascii="Times New Roman" w:cs="Times New Roman" w:eastAsia="Times New Roman" w:hAnsi="Times New Roman"/>
          <w:sz w:val="17"/>
          <w:szCs w:val="17"/>
          <w:b w:val="1"/>
          <w:bCs w:val="1"/>
          <w:color w:val="auto"/>
        </w:rPr>
      </w:pPr>
    </w:p>
    <w:p>
      <w:pPr>
        <w:ind w:left="7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SCC 2024 Amendment and Restatement, borrowings under the SCC 2021 Credit Facilities denominated in US$ bear interest at term SOFR plus an applicable credit adjustment spread ranging from 0.06% to 0.20% per annum and a margin of 2.25% per annum; borrowings under the SCC 2021 Credit Facilities denominated in HK$ bear interest at HIBOR plus a margin of 2.25% per annum. Prior to the effective of the SCC 2024 Amendment and Restatement, borrowings under the SCC 2021 Credit Facilities denominated in HK$ bore interest at HIBOR plus a margin of 4% per annum. The SC Borrower may select an interest period for borrowings under the SCC 2021 Credit Facilities ranging from one to six months or any other agreed period. As of December 31, 2025 and 2024, the weighted average interest rate was approximately 5.23% and 6.83% per annum, respectively. The SC Borrower is obligated to pay a commitment fee on the undrawn amount of the SCC 2021 Revolving Facility and recognized loan commitment fees of $123, $403 and $417 during the years ended December 31, 2025, 2024 and 2023, respectively.</w:t>
      </w:r>
    </w:p>
    <w:p>
      <w:pPr>
        <w:spacing w:after="0" w:line="70" w:lineRule="exact"/>
        <w:rPr>
          <w:rFonts w:ascii="Times New Roman" w:cs="Times New Roman" w:eastAsia="Times New Roman" w:hAnsi="Times New Roman"/>
          <w:sz w:val="17"/>
          <w:szCs w:val="17"/>
          <w:b w:val="1"/>
          <w:bCs w:val="1"/>
          <w:color w:val="auto"/>
        </w:rPr>
      </w:pPr>
    </w:p>
    <w:p>
      <w:pPr>
        <w:ind w:left="720" w:right="2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2025, the outstanding principal amount of the SCC 2021 Term Loan and the SCC 2021 Revolving Facility were HK$1,000 (equivalent to $129) and HK$233,000 (equivalent to $29,944), respectively, and the available unused borrowing capacity under the SCC 2021 Revolving Facility was nil.</w:t>
      </w:r>
    </w:p>
    <w:p>
      <w:pPr>
        <w:spacing w:after="0" w:line="57" w:lineRule="exact"/>
        <w:rPr>
          <w:rFonts w:ascii="Times New Roman" w:cs="Times New Roman" w:eastAsia="Times New Roman" w:hAnsi="Times New Roman"/>
          <w:sz w:val="17"/>
          <w:szCs w:val="17"/>
          <w:b w:val="1"/>
          <w:bCs w:val="1"/>
          <w:color w:val="auto"/>
        </w:rPr>
      </w:pPr>
    </w:p>
    <w:p>
      <w:pPr>
        <w:ind w:left="720" w:right="3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29, 2024, SCC entered into a senior secured revolving credit facility agreement with a syndicate of banks (the “SCC 2024 Revolving Facilities”) for HK$1,945,000 (equivalent to $250,273) with a term of five years and maturity date of November 29, 2029, with an option to increase the commitments in an amount not exceeding $100,000, subject to satisfaction of conditions precedent. The SCC 2024 Revolving Facilities are available up to the date that is one month prior to the maturity date.</w:t>
      </w:r>
    </w:p>
    <w:p>
      <w:pPr>
        <w:spacing w:after="0" w:line="64" w:lineRule="exact"/>
        <w:rPr>
          <w:rFonts w:ascii="Times New Roman" w:cs="Times New Roman" w:eastAsia="Times New Roman" w:hAnsi="Times New Roman"/>
          <w:sz w:val="17"/>
          <w:szCs w:val="17"/>
          <w:b w:val="1"/>
          <w:bCs w:val="1"/>
          <w:color w:val="auto"/>
        </w:rPr>
      </w:pPr>
    </w:p>
    <w:p>
      <w:pPr>
        <w:ind w:left="720" w:right="4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Borrowings under the SCC 2024 Revolving Facilities can be denominated in US$ which bear interest at term SOFR or HK$ which bear interest at HIBOR, in both case plus an applicable margin ranging from</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0960"/>
          </w:cols>
          <w:pgMar w:left="320" w:top="472" w:right="6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60" w:hanging="428"/>
        <w:spacing w:after="0" w:line="385" w:lineRule="auto"/>
        <w:tabs>
          <w:tab w:leader="none" w:pos="712"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Studio City Related</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SCC Credit Facilities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1.95% to 2.55% per annum as adjusted in accordance with the leverage ratio. The SC Borrower may select an interest period for borrowings under the SCC 2024 Revolving Facilities ranging from one to six months or any other agreed period. As of December 31, 2025, the interest rate was approximately 5.33% per annum.</w:t>
      </w:r>
    </w:p>
    <w:p>
      <w:pPr>
        <w:spacing w:after="0" w:line="57" w:lineRule="exact"/>
        <w:rPr>
          <w:rFonts w:ascii="Times New Roman" w:cs="Times New Roman" w:eastAsia="Times New Roman" w:hAnsi="Times New Roman"/>
          <w:sz w:val="17"/>
          <w:szCs w:val="17"/>
          <w:b w:val="1"/>
          <w:bCs w:val="1"/>
          <w:color w:val="auto"/>
        </w:rPr>
      </w:pPr>
    </w:p>
    <w:p>
      <w:pPr>
        <w:ind w:left="720" w:right="5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 Borrower is obligated to pay a commitment fee on the undrawn amount of the SCC 2024 Revolving Facilities and recognized loan commitment fees of $1,716 and $189 during the years ended December 31, 2025 and 2024, respectively.</w:t>
      </w:r>
    </w:p>
    <w:p>
      <w:pPr>
        <w:spacing w:after="0" w:line="42" w:lineRule="exact"/>
        <w:rPr>
          <w:rFonts w:ascii="Times New Roman" w:cs="Times New Roman" w:eastAsia="Times New Roman" w:hAnsi="Times New Roman"/>
          <w:sz w:val="17"/>
          <w:szCs w:val="17"/>
          <w:b w:val="1"/>
          <w:bCs w:val="1"/>
          <w:color w:val="auto"/>
        </w:rPr>
      </w:pPr>
    </w:p>
    <w:p>
      <w:pPr>
        <w:ind w:left="7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2025, the outstanding principal amount of the SCC 2024 Revolving Facilities was HK$389,000 (equivalent to $49,992), and the available unused borrowing capacity under the SCC 2024 Revolving Facilities was HK$1,556,000 (equivalent to $199,969) of which $119,935 is available to draw, subject to the satisfaction of certain conditions.</w:t>
      </w:r>
    </w:p>
    <w:p>
      <w:pPr>
        <w:spacing w:after="0" w:line="57"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SCC 2021 Credit Facilities and the SCC 2024 Revolving Facilities are collectively referred to as the “SCC Credit Facilities”.</w:t>
      </w:r>
    </w:p>
    <w:p>
      <w:pPr>
        <w:spacing w:after="0" w:line="118" w:lineRule="exact"/>
        <w:rPr>
          <w:rFonts w:ascii="Times New Roman" w:cs="Times New Roman" w:eastAsia="Times New Roman" w:hAnsi="Times New Roman"/>
          <w:sz w:val="17"/>
          <w:szCs w:val="17"/>
          <w:b w:val="1"/>
          <w:bCs w:val="1"/>
          <w:color w:val="auto"/>
        </w:rPr>
      </w:pPr>
    </w:p>
    <w:p>
      <w:pPr>
        <w:ind w:left="720" w:right="6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SCC 2021 Term Loan is collateralized by cash of HK$1,013 (equivalent to $130). The SC Borrower is subject to mandatory prepayment requirements in respect of various amounts of the SCC 2021 Revolving Facility and the SCC 2024 Revolving Facilities; in the event of the disposal of all or substantially all of the business and assets of the Studio City borrowing group which includes the SC Borrower and certain of its subsidiaries as defined under the SCC Credit Facilities (the “SC Borrowing Group”), the SCC Credit Facilities are required to be repaid in full. In the event of a change of control, the SC Borrower may be required, at the election of any lender under the SCC Credit Facilities, to repay such lender in full (other than the principal amount of the SCC 2021 Term Loan).</w:t>
      </w:r>
    </w:p>
    <w:p>
      <w:pPr>
        <w:spacing w:after="0" w:line="68" w:lineRule="exact"/>
        <w:rPr>
          <w:rFonts w:ascii="Times New Roman" w:cs="Times New Roman" w:eastAsia="Times New Roman" w:hAnsi="Times New Roman"/>
          <w:sz w:val="17"/>
          <w:szCs w:val="17"/>
          <w:b w:val="1"/>
          <w:bCs w:val="1"/>
          <w:color w:val="auto"/>
        </w:rPr>
      </w:pPr>
    </w:p>
    <w:p>
      <w:pPr>
        <w:ind w:left="720" w:right="6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indebtedness under the SCC Credit Facilities is guaranteed by SCI and its subsidiaries (other than the SC Borrower). Security for the SCC Credit Facilities includes a first-priority mortgage over any rights under the land concession contract of Studio City and an assignment of certain leases or right to use agreements; as well as other customary security. The SCC Credit Facilities contain certain affirmative and negative covenants customary for such financings, as well as affirmative, negative and financial covenants aligned with those of certain other financings at SCF. Certain specified bank accounts of MRM are pledged under SCC Credit Facilities and related finance documents. The SCC Credit Facilities are secured by substantially all of the material assets of SCI and its subsidiaries. Pursuant to the guarantee dated November 29, 2024 signed by SCIH, the indebtedness under the SCC 2024 Revolving Facilities is also guaranteed by SCIH.</w:t>
      </w:r>
    </w:p>
    <w:p>
      <w:pPr>
        <w:spacing w:after="0" w:line="68" w:lineRule="exact"/>
        <w:rPr>
          <w:rFonts w:ascii="Times New Roman" w:cs="Times New Roman" w:eastAsia="Times New Roman" w:hAnsi="Times New Roman"/>
          <w:sz w:val="17"/>
          <w:szCs w:val="17"/>
          <w:b w:val="1"/>
          <w:bCs w:val="1"/>
          <w:color w:val="auto"/>
        </w:rPr>
      </w:pPr>
    </w:p>
    <w:p>
      <w:pPr>
        <w:ind w:left="720" w:right="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SCC Credit Facilities contain certain covenants that, subject to certain exceptions and conditions,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SCC Credit Facilities also contain conditions and events of default customary for such financings.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F-47</w:t>
      </w:r>
    </w:p>
    <w:p>
      <w:pPr>
        <w:sectPr>
          <w:pgSz w:w="11900" w:h="16838" w:orient="portrait"/>
          <w:cols w:equalWidth="0" w:num="1">
            <w:col w:w="10940"/>
          </w:cols>
          <w:pgMar w:left="320" w:top="472" w:right="6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360" w:hanging="428"/>
        <w:spacing w:after="0" w:line="385" w:lineRule="auto"/>
        <w:tabs>
          <w:tab w:leader="none" w:pos="712"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Studio City Related</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SCC Credit Facilities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4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addition, modification, expiry, or termination of the gaming concession of MRM in circumstances that have a material adverse effect on the SC Borrowing Group (as a whole) will allow lenders to elect for the mandatory prepayment of all outstanding loan amounts.</w:t>
      </w:r>
    </w:p>
    <w:p>
      <w:pPr>
        <w:spacing w:after="0" w:line="42" w:lineRule="exact"/>
        <w:rPr>
          <w:rFonts w:ascii="Times New Roman" w:cs="Times New Roman" w:eastAsia="Times New Roman" w:hAnsi="Times New Roman"/>
          <w:sz w:val="17"/>
          <w:szCs w:val="17"/>
          <w:b w:val="1"/>
          <w:bCs w:val="1"/>
          <w:color w:val="auto"/>
        </w:rPr>
      </w:pPr>
    </w:p>
    <w:p>
      <w:pPr>
        <w:ind w:left="720" w:right="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are provisions that limit certain payments of dividends and other distributions by the SC Borrowing Group to companies or persons who are not members of the SC Borrowing Group. As of December 31, 2025, the net assets of SCI and its restricted subsidiaries of approximately $511,000 were restricted from being distributed under the terms of the SCC Credit Facilities.</w:t>
      </w:r>
    </w:p>
    <w:p>
      <w:pPr>
        <w:spacing w:after="0" w:line="55" w:lineRule="exact"/>
        <w:rPr>
          <w:rFonts w:ascii="Times New Roman" w:cs="Times New Roman" w:eastAsia="Times New Roman" w:hAnsi="Times New Roman"/>
          <w:sz w:val="17"/>
          <w:szCs w:val="17"/>
          <w:b w:val="1"/>
          <w:bCs w:val="1"/>
          <w:color w:val="auto"/>
        </w:rPr>
      </w:pPr>
    </w:p>
    <w:p>
      <w:pPr>
        <w:ind w:left="720" w:right="8800"/>
        <w:spacing w:after="0" w:line="38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MRP Related </w:t>
      </w:r>
      <w:r>
        <w:rPr>
          <w:rFonts w:ascii="Times New Roman" w:cs="Times New Roman" w:eastAsia="Times New Roman" w:hAnsi="Times New Roman"/>
          <w:sz w:val="17"/>
          <w:szCs w:val="17"/>
          <w:i w:val="1"/>
          <w:iCs w:val="1"/>
          <w:color w:val="auto"/>
        </w:rPr>
        <w:t>MRP Credit Facility</w:t>
      </w:r>
    </w:p>
    <w:p>
      <w:pPr>
        <w:ind w:left="720" w:right="30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October 14, 2015, Melco Resorts and Entertainment (Philippines) Corporation (“MRP”), a subsidiary of Melco Resorts, entered into an on-demand, unsecured credit facility agreement of Philippine Pesos (“PHP”) 2,350,000 (equivalent to $49,824), as amended from time to time (the “MRP Credit Facility”) with a lender to finance advances to Melco Resorts Leisure (PHP) Corporation (“MRL”), a subsidiary of</w:t>
      </w:r>
    </w:p>
    <w:p>
      <w:pPr>
        <w:ind w:left="7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Resorts. The available drawdown currencies under the MRP Credit Facility are PHP and US$. As of December 31, 2025, the MRP Credit Facility availability period, as amended from time to time, is up to June 30, 2026, and the maturity date of each individual drawdown, as amended from time to time, to be the earlier of: (i) the date which is 360 days from the date of drawdown, and (ii) the date which is 360 days after the end of the availability period. The individual drawdowns under the MRP Credit Facility are subject to certain conditions precedent, including issuance of a promissory note in favor of the lender evidencing such drawdown. As of December 31, 2025, borrowings under the MRP Credit Facility bear interest, as amended from time to time, at the higher of: (i) the PHP BVAL Reference Rate of the selected interest period plus the applicable margin to be mutually agreed by the bank and the borrower at the time of drawdown, and (ii) Philippines Term Deposit Facility Rate of the selected interest period plus the applicable margin to be mutually agreed by the bank and the borrower at the time of drawdown, such rate to be set one business day prior to the relevant interest period. The MRP Credit Facility includes a tax gross-up provision requiring MRP to pay without any deduction or withholding for or on account of tax.</w:t>
      </w:r>
    </w:p>
    <w:p>
      <w:pPr>
        <w:spacing w:after="0" w:line="75" w:lineRule="exact"/>
        <w:rPr>
          <w:rFonts w:ascii="Times New Roman" w:cs="Times New Roman" w:eastAsia="Times New Roman" w:hAnsi="Times New Roman"/>
          <w:sz w:val="17"/>
          <w:szCs w:val="17"/>
          <w:b w:val="1"/>
          <w:bCs w:val="1"/>
          <w:color w:val="auto"/>
        </w:rPr>
      </w:pPr>
    </w:p>
    <w:p>
      <w:pPr>
        <w:ind w:left="720" w:right="15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2025, the MRP Credit Facility had not yet been drawn and the available unused borrowing capacity was PHP2,350,000 (equivalent to $39,920).</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0940"/>
          </w:cols>
          <w:pgMar w:left="320" w:top="472" w:right="6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Scheduled Maturities of Long-term Debt</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Scheduled maturities of the long-term debt (excluding unamortized deferred financing costs and original issue premiums) as of December 31,</w:t>
      </w:r>
    </w:p>
    <w:p>
      <w:pPr>
        <w:spacing w:after="0" w:line="3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2025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129</w:t>
            </w: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1,836,625</w:t>
            </w: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1,350,000</w:t>
            </w:r>
          </w:p>
        </w:tc>
        <w:tc>
          <w:tcPr>
            <w:tcW w:w="60" w:type="dxa"/>
            <w:vAlign w:val="bottom"/>
          </w:tcPr>
          <w:p>
            <w:pPr>
              <w:spacing w:after="0"/>
              <w:rPr>
                <w:sz w:val="18"/>
                <w:szCs w:val="18"/>
                <w:color w:val="auto"/>
              </w:rPr>
            </w:pP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2,330,065</w:t>
            </w: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2030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1,250,000</w:t>
            </w:r>
          </w:p>
        </w:tc>
        <w:tc>
          <w:tcPr>
            <w:tcW w:w="60" w:type="dxa"/>
            <w:vAlign w:val="bottom"/>
            <w:shd w:val="clear" w:color="auto" w:fill="CCEEFF"/>
          </w:tcPr>
          <w:p>
            <w:pPr>
              <w:spacing w:after="0"/>
              <w:rPr>
                <w:sz w:val="18"/>
                <w:szCs w:val="18"/>
                <w:color w:val="auto"/>
              </w:rPr>
            </w:pPr>
          </w:p>
        </w:tc>
      </w:tr>
      <w:tr>
        <w:trPr>
          <w:trHeight w:val="215"/>
        </w:trPr>
        <w:tc>
          <w:tcPr>
            <w:tcW w:w="9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6,766,819</w:t>
            </w: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720" w:hanging="428"/>
        <w:spacing w:after="0"/>
        <w:tabs>
          <w:tab w:leader="none" w:pos="720"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Lessee Arrangements</w:t>
      </w:r>
    </w:p>
    <w:p>
      <w:pPr>
        <w:spacing w:after="0" w:line="120" w:lineRule="exact"/>
        <w:rPr>
          <w:rFonts w:ascii="Times New Roman" w:cs="Times New Roman" w:eastAsia="Times New Roman" w:hAnsi="Times New Roman"/>
          <w:sz w:val="17"/>
          <w:szCs w:val="17"/>
          <w:b w:val="1"/>
          <w:bCs w:val="1"/>
          <w:color w:val="auto"/>
        </w:rPr>
      </w:pPr>
    </w:p>
    <w:p>
      <w:pPr>
        <w:ind w:left="72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the lessee under operating and finance leases for equipment and real estate, including the land and certain of the building structures for City of Dreams Manila under the MRP Lease Agreement as described in Note 19, Cyprus casino sites, Mocha Clubs sites, the Sri Lanka Casino under the Sri Lanka Lease Agreement, office spaces, warehouses, staff quarters, and certain parcels of land in Macau on which City of Dreams, Altira Macau and Studio City are located. Certain lease agreements provide for periodic rental increases based on both contractually agreed incremental rates and on the general inflation rate once agreed by the Company and its lessors and, in some cases, contingent rental expenses stated as a percentage of turnover or calculated based on certain performance indicator. Certain leases include options to extend the lease term and options to terminate the lease term. The land concession contracts in Macau have a term of 25 years, which is renewable for further consecutive periods of 10 years, subject to applicable legislation in Macau. The estimated term related to the land concession contracts in Macau is 40 years.</w:t>
      </w:r>
    </w:p>
    <w:p>
      <w:pPr>
        <w:spacing w:after="0" w:line="28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lease costs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6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80" w:type="dxa"/>
            <w:vAlign w:val="bottom"/>
            <w:gridSpan w:val="7"/>
          </w:tcPr>
          <w:p>
            <w:pPr>
              <w:jc w:val="center"/>
              <w:ind w:right="6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36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7"/>
                <w:szCs w:val="17"/>
                <w:color w:val="auto"/>
              </w:rPr>
            </w:pPr>
          </w:p>
        </w:tc>
      </w:tr>
      <w:tr>
        <w:trPr>
          <w:trHeight w:val="189"/>
        </w:trPr>
        <w:tc>
          <w:tcPr>
            <w:tcW w:w="36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Operating lease costs:</w:t>
            </w:r>
          </w:p>
        </w:tc>
        <w:tc>
          <w:tcPr>
            <w:tcW w:w="4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9"/>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land use rights</w:t>
            </w:r>
          </w:p>
        </w:tc>
        <w:tc>
          <w:tcPr>
            <w:tcW w:w="5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$19,970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$19,956</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$22,670</w:t>
            </w:r>
          </w:p>
        </w:tc>
      </w:tr>
      <w:tr>
        <w:trPr>
          <w:trHeight w:val="20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costs</w:t>
            </w:r>
          </w:p>
        </w:tc>
        <w:tc>
          <w:tcPr>
            <w:tcW w:w="5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25,108</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22,613</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18,434</w:t>
            </w:r>
          </w:p>
        </w:tc>
      </w:tr>
      <w:tr>
        <w:trPr>
          <w:trHeight w:val="209"/>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lease costs</w:t>
            </w:r>
          </w:p>
        </w:tc>
        <w:tc>
          <w:tcPr>
            <w:tcW w:w="5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2,381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1,028</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342</w:t>
            </w:r>
          </w:p>
        </w:tc>
      </w:tr>
      <w:tr>
        <w:trPr>
          <w:trHeight w:val="20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Variable lease costs</w:t>
            </w:r>
          </w:p>
        </w:tc>
        <w:tc>
          <w:tcPr>
            <w:tcW w:w="5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6,811</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6,494</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2,684</w:t>
            </w: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costs:</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5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5,315</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5,265</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5,336</w:t>
            </w:r>
          </w:p>
        </w:tc>
      </w:tr>
      <w:tr>
        <w:trPr>
          <w:trHeight w:val="209"/>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costs</w:t>
            </w:r>
          </w:p>
        </w:tc>
        <w:tc>
          <w:tcPr>
            <w:tcW w:w="4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20,795</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22,399</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24,562</w:t>
            </w:r>
          </w:p>
        </w:tc>
      </w:tr>
      <w:tr>
        <w:trPr>
          <w:trHeight w:val="26"/>
        </w:trPr>
        <w:tc>
          <w:tcPr>
            <w:tcW w:w="36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costs</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80,380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77,755</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74,028</w:t>
            </w:r>
          </w:p>
        </w:tc>
      </w:tr>
      <w:tr>
        <w:trPr>
          <w:trHeight w:val="20"/>
        </w:trPr>
        <w:tc>
          <w:tcPr>
            <w:tcW w:w="36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51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F-49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3389630</wp:posOffset>
            </wp:positionV>
            <wp:extent cx="7178675" cy="666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3">
                      <a:extLst>
                        <a:ext uri="{28A0092B-C50C-407E-A947-70E740481C1C}"/>
                      </a:extLst>
                    </a:blip>
                    <a:srcRect/>
                    <a:stretch>
                      <a:fillRect/>
                    </a:stretch>
                  </pic:blipFill>
                  <pic:spPr bwMode="auto">
                    <a:xfrm>
                      <a:off x="0" y="0"/>
                      <a:ext cx="7178675" cy="66675"/>
                    </a:xfrm>
                    <a:prstGeom prst="rect">
                      <a:avLst/>
                    </a:prstGeom>
                    <a:noFill/>
                  </pic:spPr>
                </pic:pic>
              </a:graphicData>
            </a:graphic>
          </wp:anchor>
        </w:drawing>
      </w:r>
    </w:p>
    <w:p>
      <w:pPr>
        <w:sectPr>
          <w:pgSz w:w="11900" w:h="16838" w:orient="portrait"/>
          <w:cols w:equalWidth="0" w:num="1">
            <w:col w:w="10960"/>
          </w:cols>
          <w:pgMar w:left="320" w:top="472" w:right="6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Lessee Arrangements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information related to lease terms and discount rates is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8"/>
          </w:tcPr>
          <w:p>
            <w:pPr>
              <w:jc w:val="right"/>
              <w:ind w:right="52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5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Weighted average remaining lease term</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9"/>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Times New Roman" w:cs="Times New Roman" w:eastAsia="Times New Roman" w:hAnsi="Times New Roman"/>
                <w:sz w:val="17"/>
                <w:szCs w:val="17"/>
                <w:color w:val="auto"/>
              </w:rPr>
              <w:t>18.6 years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18.9 years</w:t>
            </w:r>
          </w:p>
        </w:tc>
      </w:tr>
      <w:tr>
        <w:trPr>
          <w:trHeight w:val="20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 years</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 years</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15.36%</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14.52%</w:t>
            </w:r>
          </w:p>
        </w:tc>
      </w:tr>
      <w:tr>
        <w:trPr>
          <w:trHeight w:val="227"/>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tcPr>
          <w:p>
            <w:pPr>
              <w:spacing w:after="0"/>
              <w:rPr>
                <w:sz w:val="19"/>
                <w:szCs w:val="19"/>
                <w:color w:val="auto"/>
              </w:rPr>
            </w:pPr>
          </w:p>
        </w:tc>
        <w:tc>
          <w:tcPr>
            <w:tcW w:w="1420" w:type="dxa"/>
            <w:vAlign w:val="bottom"/>
            <w:gridSpan w:val="6"/>
          </w:tcPr>
          <w:p>
            <w:pPr>
              <w:jc w:val="right"/>
              <w:ind w:right="140"/>
              <w:spacing w:after="0"/>
              <w:rPr>
                <w:sz w:val="20"/>
                <w:szCs w:val="20"/>
                <w:color w:val="auto"/>
              </w:rPr>
            </w:pPr>
            <w:r>
              <w:rPr>
                <w:rFonts w:ascii="Times New Roman" w:cs="Times New Roman" w:eastAsia="Times New Roman" w:hAnsi="Times New Roman"/>
                <w:sz w:val="17"/>
                <w:szCs w:val="17"/>
                <w:color w:val="auto"/>
              </w:rPr>
              <w:t>10.70%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10.70%</w:t>
            </w:r>
          </w:p>
        </w:tc>
      </w:tr>
      <w:tr>
        <w:trPr>
          <w:trHeight w:val="295"/>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Maturities of lease liabilities as of December 31, 2025 are as follows:</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4"/>
        </w:trPr>
        <w:tc>
          <w:tcPr>
            <w:tcW w:w="756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18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Finance Leases</w:t>
            </w:r>
          </w:p>
        </w:tc>
      </w:tr>
      <w:tr>
        <w:trPr>
          <w:trHeight w:val="189"/>
        </w:trPr>
        <w:tc>
          <w:tcPr>
            <w:tcW w:w="75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Year ending December 31,</w:t>
            </w: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91"/>
        </w:trPr>
        <w:tc>
          <w:tcPr>
            <w:tcW w:w="75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6"/>
                <w:szCs w:val="16"/>
                <w:color w:val="auto"/>
              </w:rPr>
            </w:pPr>
          </w:p>
        </w:tc>
        <w:tc>
          <w:tcPr>
            <w:tcW w:w="1200" w:type="dxa"/>
            <w:vAlign w:val="bottom"/>
            <w:gridSpan w:val="4"/>
          </w:tcPr>
          <w:p>
            <w:pPr>
              <w:jc w:val="right"/>
              <w:ind w:right="420"/>
              <w:spacing w:after="0" w:line="191" w:lineRule="exact"/>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40"/>
              <w:spacing w:after="0" w:line="191" w:lineRule="exact"/>
              <w:rPr>
                <w:sz w:val="20"/>
                <w:szCs w:val="20"/>
                <w:color w:val="auto"/>
              </w:rPr>
            </w:pPr>
            <w:r>
              <w:rPr>
                <w:rFonts w:ascii="Times New Roman" w:cs="Times New Roman" w:eastAsia="Times New Roman" w:hAnsi="Times New Roman"/>
                <w:sz w:val="17"/>
                <w:szCs w:val="17"/>
                <w:color w:val="auto"/>
              </w:rPr>
              <w:t xml:space="preserve">          </w:t>
            </w:r>
          </w:p>
        </w:tc>
      </w:tr>
      <w:tr>
        <w:trPr>
          <w:trHeight w:val="227"/>
        </w:trPr>
        <w:tc>
          <w:tcPr>
            <w:tcW w:w="75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20,062</w:t>
            </w:r>
          </w:p>
        </w:tc>
        <w:tc>
          <w:tcPr>
            <w:tcW w:w="260" w:type="dxa"/>
            <w:vAlign w:val="bottom"/>
          </w:tcPr>
          <w:p>
            <w:pPr>
              <w:spacing w:after="0"/>
              <w:rPr>
                <w:sz w:val="19"/>
                <w:szCs w:val="19"/>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35,290</w:t>
            </w:r>
          </w:p>
        </w:tc>
        <w:tc>
          <w:tcPr>
            <w:tcW w:w="60" w:type="dxa"/>
            <w:vAlign w:val="bottom"/>
          </w:tcPr>
          <w:p>
            <w:pPr>
              <w:spacing w:after="0"/>
              <w:rPr>
                <w:sz w:val="19"/>
                <w:szCs w:val="19"/>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16,166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35,290</w:t>
            </w:r>
          </w:p>
        </w:tc>
        <w:tc>
          <w:tcPr>
            <w:tcW w:w="60" w:type="dxa"/>
            <w:vAlign w:val="bottom"/>
            <w:shd w:val="clear" w:color="auto" w:fill="CCEEFF"/>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17,183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35,290</w:t>
            </w:r>
          </w:p>
        </w:tc>
        <w:tc>
          <w:tcPr>
            <w:tcW w:w="60" w:type="dxa"/>
            <w:vAlign w:val="bottom"/>
          </w:tcPr>
          <w:p>
            <w:pPr>
              <w:spacing w:after="0"/>
              <w:rPr>
                <w:sz w:val="18"/>
                <w:szCs w:val="18"/>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13,829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35,290</w:t>
            </w:r>
          </w:p>
        </w:tc>
        <w:tc>
          <w:tcPr>
            <w:tcW w:w="60" w:type="dxa"/>
            <w:vAlign w:val="bottom"/>
            <w:shd w:val="clear" w:color="auto" w:fill="CCEEFF"/>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13,541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35,290</w:t>
            </w:r>
          </w:p>
        </w:tc>
        <w:tc>
          <w:tcPr>
            <w:tcW w:w="60" w:type="dxa"/>
            <w:vAlign w:val="bottom"/>
          </w:tcPr>
          <w:p>
            <w:pPr>
              <w:spacing w:after="0"/>
              <w:rPr>
                <w:sz w:val="18"/>
                <w:szCs w:val="18"/>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2030</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156,763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89,271</w:t>
            </w:r>
          </w:p>
        </w:tc>
        <w:tc>
          <w:tcPr>
            <w:tcW w:w="60" w:type="dxa"/>
            <w:vAlign w:val="bottom"/>
            <w:shd w:val="clear" w:color="auto" w:fill="CCEEFF"/>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237,544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265,721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amounts representing interest</w:t>
            </w:r>
          </w:p>
        </w:tc>
        <w:tc>
          <w:tcPr>
            <w:tcW w:w="3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(142,438)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(83,804)</w:t>
            </w: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95,106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3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(33,327)</w:t>
            </w: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76,108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Lessor Arrangements</w:t>
      </w:r>
    </w:p>
    <w:p>
      <w:pPr>
        <w:spacing w:after="0" w:line="120" w:lineRule="exact"/>
        <w:rPr>
          <w:sz w:val="20"/>
          <w:szCs w:val="20"/>
          <w:color w:val="auto"/>
        </w:rPr>
      </w:pPr>
    </w:p>
    <w:p>
      <w:pPr>
        <w:ind w:left="720" w:right="180"/>
        <w:spacing w:after="0" w:line="276" w:lineRule="auto"/>
        <w:rPr>
          <w:sz w:val="20"/>
          <w:szCs w:val="20"/>
          <w:color w:val="auto"/>
        </w:rPr>
      </w:pPr>
      <w:r>
        <w:rPr>
          <w:rFonts w:ascii="Times New Roman" w:cs="Times New Roman" w:eastAsia="Times New Roman" w:hAnsi="Times New Roman"/>
          <w:sz w:val="17"/>
          <w:szCs w:val="17"/>
          <w:color w:val="auto"/>
        </w:rPr>
        <w:t>The Company is the lessor under non-cancellable operating leases mainly for mall spaces in the sites of City of Dreams, City of Dreams Manila, Studio City and City of Dreams Mediterranean with various retailers that expire at various dates through June 2037. Certain of the operating leases include minimum base fees with contingent fee clauses based on percentages of turnover.</w:t>
      </w:r>
    </w:p>
    <w:p>
      <w:pPr>
        <w:spacing w:after="0" w:line="57" w:lineRule="exact"/>
        <w:rPr>
          <w:sz w:val="20"/>
          <w:szCs w:val="20"/>
          <w:color w:val="auto"/>
        </w:rPr>
      </w:pPr>
    </w:p>
    <w:p>
      <w:pPr>
        <w:ind w:left="720" w:right="20"/>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2025, the Company arranged a sales-type lease for the Equipment (as defined in Note 21) under the Studio City Operating Agreement as disclosed in Note 21. As of December 31, 2025, the current and non-current portion of the investment in a sales-type lease of $223 and $1,509, respectively, are included in prepaid expenses and other current assets and long-term prepayments, deposits and other assets in the accompanying consolidated balance sheets, respectively.</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0960"/>
          </w:cols>
          <w:pgMar w:left="320" w:top="119" w:right="6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Lessor Arrangements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lease income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7"/>
                <w:szCs w:val="17"/>
                <w:color w:val="auto"/>
              </w:rPr>
              <w:t>Year Ended December 31,</w:t>
            </w: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7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9"/>
              </w:rPr>
              <w:t>2023</w:t>
            </w:r>
          </w:p>
        </w:tc>
        <w:tc>
          <w:tcPr>
            <w:tcW w:w="60" w:type="dxa"/>
            <w:vAlign w:val="bottom"/>
            <w:tcBorders>
              <w:bottom w:val="single" w:sz="8" w:color="CCEEFF"/>
            </w:tcBorders>
          </w:tcPr>
          <w:p>
            <w:pPr>
              <w:spacing w:after="0"/>
              <w:rPr>
                <w:sz w:val="17"/>
                <w:szCs w:val="17"/>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Operating lease income: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9"/>
        </w:trPr>
        <w:tc>
          <w:tcPr>
            <w:tcW w:w="7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Minimum</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40,708</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47,394</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45,210</w:t>
            </w:r>
          </w:p>
        </w:tc>
      </w:tr>
      <w:tr>
        <w:trPr>
          <w:trHeight w:val="209"/>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Contingent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11,617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60" w:type="dxa"/>
            <w:vAlign w:val="bottom"/>
            <w:shd w:val="clear" w:color="auto" w:fill="CCEEFF"/>
          </w:tcPr>
          <w:p>
            <w:pPr>
              <w:spacing w:after="0"/>
              <w:rPr>
                <w:sz w:val="18"/>
                <w:szCs w:val="18"/>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Sales-type lease income</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— </w:t>
            </w:r>
          </w:p>
        </w:tc>
      </w:tr>
      <w:tr>
        <w:trPr>
          <w:trHeight w:val="26"/>
        </w:trPr>
        <w:tc>
          <w:tcPr>
            <w:tcW w:w="7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52,395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xml:space="preserve">$  </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57,484</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xml:space="preserve">$  </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53,020</w:t>
            </w:r>
          </w:p>
        </w:tc>
      </w:tr>
      <w:tr>
        <w:trPr>
          <w:trHeight w:val="20"/>
        </w:trPr>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Future minimum fees, excluding the contingent fees to be received under non-cancellable leases as of December 31, 2025 were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28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w:t>
            </w:r>
          </w:p>
        </w:tc>
        <w:tc>
          <w:tcPr>
            <w:tcW w:w="20" w:type="dxa"/>
            <w:vAlign w:val="bottom"/>
          </w:tcPr>
          <w:p>
            <w:pPr>
              <w:spacing w:after="0"/>
              <w:rPr>
                <w:sz w:val="19"/>
                <w:szCs w:val="19"/>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Sales-Type</w:t>
            </w:r>
          </w:p>
        </w:tc>
      </w:tr>
      <w:tr>
        <w:trPr>
          <w:trHeight w:val="189"/>
        </w:trPr>
        <w:tc>
          <w:tcPr>
            <w:tcW w:w="82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Year ending December 31,</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9"/>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28,178</w:t>
            </w: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481</w:t>
            </w: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9,524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w:t>
            </w:r>
          </w:p>
        </w:tc>
      </w:tr>
      <w:tr>
        <w:trPr>
          <w:trHeight w:val="209"/>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549</w:t>
            </w: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497</w:t>
            </w:r>
          </w:p>
        </w:tc>
      </w:tr>
      <w:tr>
        <w:trPr>
          <w:trHeight w:val="209"/>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136</w:t>
            </w: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4,293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545</w:t>
            </w:r>
          </w:p>
        </w:tc>
      </w:tr>
      <w:tr>
        <w:trPr>
          <w:trHeight w:val="215"/>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Difference between undiscounted cash flow and present value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(957)</w:t>
            </w:r>
          </w:p>
        </w:tc>
      </w:tr>
      <w:tr>
        <w:trPr>
          <w:trHeight w:val="215"/>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 a sales-type lease</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1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20" w:lineRule="exact"/>
        <w:rPr>
          <w:rFonts w:ascii="Times New Roman" w:cs="Times New Roman" w:eastAsia="Times New Roman" w:hAnsi="Times New Roman"/>
          <w:sz w:val="17"/>
          <w:szCs w:val="17"/>
          <w:b w:val="1"/>
          <w:bCs w:val="1"/>
          <w:color w:val="auto"/>
        </w:rPr>
      </w:pPr>
    </w:p>
    <w:p>
      <w:pPr>
        <w:ind w:left="720" w:right="26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70" w:lineRule="exact"/>
        <w:rPr>
          <w:rFonts w:ascii="Times New Roman" w:cs="Times New Roman" w:eastAsia="Times New Roman" w:hAnsi="Times New Roman"/>
          <w:sz w:val="17"/>
          <w:szCs w:val="17"/>
          <w:b w:val="1"/>
          <w:bCs w:val="1"/>
          <w:color w:val="auto"/>
        </w:rPr>
      </w:pPr>
    </w:p>
    <w:p>
      <w:pPr>
        <w:ind w:left="1240" w:hanging="425"/>
        <w:spacing w:after="0"/>
        <w:tabs>
          <w:tab w:leader="none" w:pos="124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unadjusted quoted prices for identical instruments traded in active markets.</w:t>
      </w:r>
    </w:p>
    <w:p>
      <w:pPr>
        <w:spacing w:after="0" w:line="131" w:lineRule="exact"/>
        <w:rPr>
          <w:rFonts w:ascii="Times New Roman" w:cs="Times New Roman" w:eastAsia="Times New Roman" w:hAnsi="Times New Roman"/>
          <w:sz w:val="17"/>
          <w:szCs w:val="17"/>
          <w:color w:val="auto"/>
        </w:rPr>
      </w:pPr>
    </w:p>
    <w:p>
      <w:pPr>
        <w:ind w:left="1240" w:hanging="425"/>
        <w:spacing w:after="0" w:line="276" w:lineRule="auto"/>
        <w:tabs>
          <w:tab w:leader="none" w:pos="124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F-51</w:t>
      </w:r>
    </w:p>
    <w:p>
      <w:pPr>
        <w:sectPr>
          <w:pgSz w:w="11900" w:h="16838" w:orient="portrait"/>
          <w:cols w:equalWidth="0" w:num="1">
            <w:col w:w="10960"/>
          </w:cols>
          <w:pgMar w:left="320" w:top="472" w:right="6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1240" w:right="200" w:hanging="425"/>
        <w:spacing w:after="0" w:line="276" w:lineRule="auto"/>
        <w:tabs>
          <w:tab w:leader="none" w:pos="124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57" w:lineRule="exact"/>
        <w:rPr>
          <w:sz w:val="20"/>
          <w:szCs w:val="20"/>
          <w:color w:val="auto"/>
        </w:rPr>
      </w:pPr>
    </w:p>
    <w:p>
      <w:pPr>
        <w:ind w:left="720" w:right="80"/>
        <w:spacing w:after="0" w:line="295" w:lineRule="auto"/>
        <w:rPr>
          <w:sz w:val="20"/>
          <w:szCs w:val="20"/>
          <w:color w:val="auto"/>
        </w:rPr>
      </w:pPr>
      <w:r>
        <w:rPr>
          <w:rFonts w:ascii="Times New Roman" w:cs="Times New Roman" w:eastAsia="Times New Roman" w:hAnsi="Times New Roman"/>
          <w:sz w:val="17"/>
          <w:szCs w:val="17"/>
          <w:color w:val="auto"/>
        </w:rPr>
        <w:t>The carrying values of cash equivalents, bank time deposits included in restricted cash, long-term deposits, long-term receivables and other long-term liabilities approximated fair values and were classified as level 2 in the fair value hierarchy.</w:t>
      </w:r>
    </w:p>
    <w:p>
      <w:pPr>
        <w:spacing w:after="0" w:line="42" w:lineRule="exact"/>
        <w:rPr>
          <w:sz w:val="20"/>
          <w:szCs w:val="20"/>
          <w:color w:val="auto"/>
        </w:rPr>
      </w:pPr>
    </w:p>
    <w:p>
      <w:pPr>
        <w:ind w:left="720" w:right="100"/>
        <w:spacing w:after="0" w:line="295" w:lineRule="auto"/>
        <w:rPr>
          <w:sz w:val="20"/>
          <w:szCs w:val="20"/>
          <w:color w:val="auto"/>
        </w:rPr>
      </w:pPr>
      <w:r>
        <w:rPr>
          <w:rFonts w:ascii="Times New Roman" w:cs="Times New Roman" w:eastAsia="Times New Roman" w:hAnsi="Times New Roman"/>
          <w:sz w:val="17"/>
          <w:szCs w:val="17"/>
          <w:color w:val="auto"/>
        </w:rPr>
        <w:t>The fair value of the reporting unit of Mocha and Other as of December 31, 2025 as described in Note 2(k) was estimated by using level 3 inputs based on income approach.</w:t>
      </w:r>
    </w:p>
    <w:p>
      <w:pPr>
        <w:spacing w:after="0" w:line="42" w:lineRule="exact"/>
        <w:rPr>
          <w:sz w:val="20"/>
          <w:szCs w:val="20"/>
          <w:color w:val="auto"/>
        </w:rPr>
      </w:pPr>
    </w:p>
    <w:p>
      <w:pPr>
        <w:ind w:left="720" w:right="120"/>
        <w:spacing w:after="0" w:line="295" w:lineRule="auto"/>
        <w:rPr>
          <w:sz w:val="20"/>
          <w:szCs w:val="20"/>
          <w:color w:val="auto"/>
        </w:rPr>
      </w:pPr>
      <w:r>
        <w:rPr>
          <w:rFonts w:ascii="Times New Roman" w:cs="Times New Roman" w:eastAsia="Times New Roman" w:hAnsi="Times New Roman"/>
          <w:sz w:val="17"/>
          <w:szCs w:val="17"/>
          <w:color w:val="auto"/>
        </w:rPr>
        <w:t>The fair values as of December 31, 2025 and 2024 for the long-lived assets impairment of Altira Macau as described in Note 2(l) were estimated by using level 3 inputs based on a combination of income and cost approaches.</w:t>
      </w:r>
    </w:p>
    <w:p>
      <w:pPr>
        <w:spacing w:after="0" w:line="42" w:lineRule="exact"/>
        <w:rPr>
          <w:sz w:val="20"/>
          <w:szCs w:val="20"/>
          <w:color w:val="auto"/>
        </w:rPr>
      </w:pPr>
    </w:p>
    <w:p>
      <w:pPr>
        <w:ind w:left="720" w:right="120"/>
        <w:spacing w:after="0" w:line="266" w:lineRule="auto"/>
        <w:rPr>
          <w:sz w:val="20"/>
          <w:szCs w:val="20"/>
          <w:color w:val="auto"/>
        </w:rPr>
      </w:pPr>
      <w:r>
        <w:rPr>
          <w:rFonts w:ascii="Times New Roman" w:cs="Times New Roman" w:eastAsia="Times New Roman" w:hAnsi="Times New Roman"/>
          <w:sz w:val="17"/>
          <w:szCs w:val="17"/>
          <w:color w:val="auto"/>
        </w:rPr>
        <w:t>The estimated fair values of long-term debt as of December 31, 2025 and 2024, were approximately $6,738,957 and $6,883,455, respectively, as compared to their carrying values, excluding unamortized deferred financing costs and original issue premiums, of $6,766,819 and $7,180,185, respectively. Fair values for the senior notes were estimated based on recent trades, if available, and indicative pricing from market information and were classified as level 2 in the fair value hierarchy. Fair values for the credit facilities approximated their carrying values as the instruments carried variable interest rates that approximated the market rates and were classified as level 2 in the fair value hierarchy.</w:t>
      </w:r>
    </w:p>
    <w:p>
      <w:pPr>
        <w:spacing w:after="0" w:line="67" w:lineRule="exact"/>
        <w:rPr>
          <w:sz w:val="20"/>
          <w:szCs w:val="20"/>
          <w:color w:val="auto"/>
        </w:rPr>
      </w:pPr>
    </w:p>
    <w:p>
      <w:pPr>
        <w:ind w:left="720" w:right="180"/>
        <w:spacing w:after="0" w:line="269" w:lineRule="auto"/>
        <w:rPr>
          <w:sz w:val="20"/>
          <w:szCs w:val="20"/>
          <w:color w:val="auto"/>
        </w:rPr>
      </w:pPr>
      <w:r>
        <w:rPr>
          <w:rFonts w:ascii="Times New Roman" w:cs="Times New Roman" w:eastAsia="Times New Roman" w:hAnsi="Times New Roman"/>
          <w:sz w:val="17"/>
          <w:szCs w:val="17"/>
          <w:color w:val="auto"/>
        </w:rPr>
        <w:t>As of December 31, 2025, the fair values of interest rate swaps and cross-currency swaps approximated the amounts the Company would pay if these contracts were settled at the respective valuation dates. Fair value is estimated based on a discounted cash flow model that projects future cash flows and discounts those future cash flows to a present value by using level 2 inputs such as interest rate yields and foreign currency exchange rates. The fair values of the interest rate swaps and cross-currency swaps were disclosed in Note 9 and Note 10 respectively.</w:t>
      </w:r>
    </w:p>
    <w:p>
      <w:pPr>
        <w:spacing w:after="0" w:line="65" w:lineRule="exact"/>
        <w:rPr>
          <w:sz w:val="20"/>
          <w:szCs w:val="20"/>
          <w:color w:val="auto"/>
        </w:rPr>
      </w:pPr>
    </w:p>
    <w:p>
      <w:pPr>
        <w:ind w:left="720" w:right="360"/>
        <w:spacing w:after="0" w:line="295" w:lineRule="auto"/>
        <w:rPr>
          <w:sz w:val="20"/>
          <w:szCs w:val="20"/>
          <w:color w:val="auto"/>
        </w:rPr>
      </w:pPr>
      <w:r>
        <w:rPr>
          <w:rFonts w:ascii="Times New Roman" w:cs="Times New Roman" w:eastAsia="Times New Roman" w:hAnsi="Times New Roman"/>
          <w:sz w:val="17"/>
          <w:szCs w:val="17"/>
          <w:color w:val="auto"/>
        </w:rPr>
        <w:t>As of December 31, 2025 and 2024, the Company did not have any non-financial assets or liabilities that were recognized or disclosed at fair value in the accompanying consolidated financial statements.</w:t>
      </w:r>
    </w:p>
    <w:p>
      <w:pPr>
        <w:spacing w:after="0" w:line="288" w:lineRule="exact"/>
        <w:rPr>
          <w:sz w:val="20"/>
          <w:szCs w:val="20"/>
          <w:color w:val="auto"/>
        </w:rPr>
      </w:pPr>
    </w:p>
    <w:p>
      <w:pPr>
        <w:ind w:left="720" w:right="8320" w:hanging="428"/>
        <w:spacing w:after="0" w:line="386" w:lineRule="auto"/>
        <w:tabs>
          <w:tab w:leader="none" w:pos="712"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 Treasury Shares</w:t>
      </w:r>
    </w:p>
    <w:p>
      <w:pPr>
        <w:ind w:left="720" w:right="16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Resorts’ treasury shares represent new shares issued by Melco Resorts and the shares repurchased by Melco Resorts under the respective share repurchase programs. The treasury shares are mainly held by the depositary bank to facilitate the administration and operations of Melco Resorts’ share incentive plans, and are to be delivered to the directors, eligible employees and consultants on the vesting of restricted shares and upon the exercise of share options.</w:t>
      </w:r>
    </w:p>
    <w:p>
      <w:pPr>
        <w:spacing w:after="0" w:line="64" w:lineRule="exact"/>
        <w:rPr>
          <w:rFonts w:ascii="Times New Roman" w:cs="Times New Roman" w:eastAsia="Times New Roman" w:hAnsi="Times New Roman"/>
          <w:sz w:val="17"/>
          <w:szCs w:val="17"/>
          <w:b w:val="1"/>
          <w:bCs w:val="1"/>
          <w:color w:val="auto"/>
        </w:rPr>
      </w:pPr>
    </w:p>
    <w:p>
      <w:pPr>
        <w:jc w:val="both"/>
        <w:ind w:left="7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ordinary shares were issued by Melco Resorts to its depositary bank for future vesting of restricted shares and exercise of share options during the years ended December 31, 2025, 2024 and 2023. Melco Resorts issued 9,676,248, 10,006,209 and 16,254,282 ordinary shares upon vesting of restricted shares; and 276,588, nil and 82,242 ordinary shares upon exercise of share options during the years ended December 31, 2025, 2024 and 2023, respectively.</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F-52</w:t>
      </w:r>
    </w:p>
    <w:p>
      <w:pPr>
        <w:sectPr>
          <w:pgSz w:w="11900" w:h="16838" w:orient="portrait"/>
          <w:cols w:equalWidth="0" w:num="1">
            <w:col w:w="10920"/>
          </w:cols>
          <w:pgMar w:left="320" w:top="472" w:right="6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7540" w:hanging="428"/>
        <w:spacing w:after="0" w:line="394" w:lineRule="auto"/>
        <w:tabs>
          <w:tab w:leader="none" w:pos="712" w:val="left"/>
        </w:tabs>
        <w:numPr>
          <w:ilvl w:val="0"/>
          <w:numId w:val="1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Treasury Shares</w:t>
      </w:r>
      <w:r>
        <w:rPr>
          <w:rFonts w:ascii="Times New Roman" w:cs="Times New Roman" w:eastAsia="Times New Roman" w:hAnsi="Times New Roman"/>
          <w:sz w:val="17"/>
          <w:szCs w:val="17"/>
          <w:color w:val="auto"/>
        </w:rPr>
        <w:t xml:space="preserve"> - continued</w:t>
      </w:r>
    </w:p>
    <w:p>
      <w:pPr>
        <w:ind w:left="720" w:right="20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3, 2024, the Board of Directors of Melco Resorts authorized the repurchase of Melco Resorts’ ordinary shares and/or ADSs of up to an aggregate of $500,000 over a three-year period which commenced on June 3, 2024 and will expire on June 3, 2027 under a share repurchase program (the “2024 Share Repurchase Program”) and replaced the previous share repurchase program which had expired. Purchases under the 2024 Share Repurchase Program may be made from time to time on the open market at prevailing market prices, including pursuant to a trading plan in accordance with Rule 10b-18 and/or Rule 10b5-1 of the U.S. Securities Exchange Act, and/or in privately-negotiated transactions. The timing of the purchases and the amount of shares and/or ADSs purchased will be determined by Melco Resorts’ management based on its evaluation of market conditions, trading prices, applicable securities laws and other factors. The 2024 Share Repurchase Program may be suspended, modified or terminated at any time, and Melco Resorts has no obligation to repurchase any amounts under the program.</w:t>
      </w:r>
    </w:p>
    <w:p>
      <w:pPr>
        <w:spacing w:after="0" w:line="70" w:lineRule="exact"/>
        <w:rPr>
          <w:rFonts w:ascii="Times New Roman" w:cs="Times New Roman" w:eastAsia="Times New Roman" w:hAnsi="Times New Roman"/>
          <w:sz w:val="17"/>
          <w:szCs w:val="17"/>
          <w:b w:val="1"/>
          <w:bCs w:val="1"/>
          <w:color w:val="auto"/>
        </w:rPr>
      </w:pPr>
    </w:p>
    <w:p>
      <w:pPr>
        <w:ind w:left="720" w:right="2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2025, 32,345,223 ADSs, equivalent to 97,035,669 ordinary shares were repurchased under the 2024 Share Repurchase Program, of which no ordinary shares repurchased were retired. During the year ended December 31, 2024, 20,712,895 ADSs, equivalent to 62,138,685 ordinary shares were repurchased under the 2024 Share Repurchase Program, of which 53,138,685 ordinary shares repurchased were retired.</w:t>
      </w:r>
    </w:p>
    <w:p>
      <w:pPr>
        <w:spacing w:after="0" w:line="64" w:lineRule="exact"/>
        <w:rPr>
          <w:rFonts w:ascii="Times New Roman" w:cs="Times New Roman" w:eastAsia="Times New Roman" w:hAnsi="Times New Roman"/>
          <w:sz w:val="17"/>
          <w:szCs w:val="17"/>
          <w:b w:val="1"/>
          <w:bCs w:val="1"/>
          <w:color w:val="auto"/>
        </w:rPr>
      </w:pPr>
    </w:p>
    <w:p>
      <w:pPr>
        <w:ind w:left="720" w:right="4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8, 2023, Melco Resorts, Melco International and Melco Leisure and Entertainment Group Limited (“Melco Leisure”), a subsidiary of Melco International, entered into a share repurchase agreement, pursuant to which Melco Resorts agreed to repurchase 40,373,076 ordinary shares of Melco Resorts from Melco Leisure (the “2023 Share Repurchase”). On March 10, 2023, the 2023 Share Repurchase was completed for an aggregate consideration of $169,836, which represents an average price of $4.2067 per share or $12.62 per ADS and 40,373,076 ordinary shares of Melco Resorts repurchased from Melco Leisure were retired on the same date (the “2023 Share Retirement”). Other than the 2023 Share Repurchase and the 2023 Share Retirement as described above, no ordinary shares were repurchased and retired during the year ended December 31, 2023.</w:t>
      </w:r>
    </w:p>
    <w:p>
      <w:pPr>
        <w:spacing w:after="0" w:line="282" w:lineRule="exact"/>
        <w:rPr>
          <w:rFonts w:ascii="Times New Roman" w:cs="Times New Roman" w:eastAsia="Times New Roman" w:hAnsi="Times New Roman"/>
          <w:sz w:val="17"/>
          <w:szCs w:val="17"/>
          <w:b w:val="1"/>
          <w:bCs w:val="1"/>
          <w:color w:val="auto"/>
        </w:rPr>
      </w:pPr>
    </w:p>
    <w:p>
      <w:pPr>
        <w:ind w:left="720" w:right="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2025 and 2024, Melco Resorts had 1,351,540,382 and 1,351,540,382 issued ordinary shares; and 179,484,916 and 92,402,083 treasury shares, with 1,172,055,466 and 1,259,138,299 ordinary shares outstanding, respectively.</w:t>
      </w:r>
    </w:p>
    <w:p>
      <w:pPr>
        <w:spacing w:after="0" w:line="288"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Income (loss) before income tax consisted of:</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7"/>
          </w:tcPr>
          <w:p>
            <w:pPr>
              <w:jc w:val="right"/>
              <w:ind w:right="13"/>
              <w:spacing w:after="0"/>
              <w:rPr>
                <w:sz w:val="20"/>
                <w:szCs w:val="20"/>
                <w:color w:val="auto"/>
              </w:rPr>
            </w:pPr>
            <w:r>
              <w:rPr>
                <w:rFonts w:ascii="Times New Roman" w:cs="Times New Roman" w:eastAsia="Times New Roman" w:hAnsi="Times New Roman"/>
                <w:sz w:val="17"/>
                <w:szCs w:val="17"/>
                <w:color w:val="auto"/>
              </w:rPr>
              <w:t>Year Ended December 31,</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350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7"/>
                <w:szCs w:val="17"/>
                <w:color w:val="auto"/>
              </w:rPr>
            </w:pPr>
          </w:p>
        </w:tc>
      </w:tr>
      <w:tr>
        <w:trPr>
          <w:trHeight w:val="20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 operations</w:t>
            </w:r>
          </w:p>
        </w:tc>
        <w:tc>
          <w:tcPr>
            <w:tcW w:w="28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641,064</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438,047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11,021</w:t>
            </w:r>
          </w:p>
        </w:tc>
        <w:tc>
          <w:tcPr>
            <w:tcW w:w="140" w:type="dxa"/>
            <w:vAlign w:val="bottom"/>
            <w:shd w:val="clear" w:color="auto" w:fill="CCEEFF"/>
          </w:tcPr>
          <w:p>
            <w:pPr>
              <w:spacing w:after="0"/>
              <w:rPr>
                <w:sz w:val="17"/>
                <w:szCs w:val="17"/>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Hong Kong operations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(514,544)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(499,077)</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(474,862)</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 operations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51,031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72,211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86,910</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Cyprus operations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8,379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(7,295)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(29,171)</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jurisdictions operations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(10,235)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4,194</w:t>
            </w:r>
          </w:p>
        </w:tc>
      </w:tr>
      <w:tr>
        <w:trPr>
          <w:trHeight w:val="215"/>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28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148,285</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(6,349)</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(401,908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3500" w:type="dxa"/>
            <w:vAlign w:val="bottom"/>
          </w:tcPr>
          <w:p>
            <w:pPr>
              <w:spacing w:after="0"/>
              <w:rPr>
                <w:sz w:val="24"/>
                <w:szCs w:val="24"/>
                <w:color w:val="auto"/>
              </w:rPr>
            </w:pPr>
          </w:p>
        </w:tc>
        <w:tc>
          <w:tcPr>
            <w:tcW w:w="2980" w:type="dxa"/>
            <w:vAlign w:val="bottom"/>
            <w:gridSpan w:val="2"/>
          </w:tcPr>
          <w:p>
            <w:pPr>
              <w:jc w:val="right"/>
              <w:ind w:right="1333"/>
              <w:spacing w:after="0"/>
              <w:rPr>
                <w:sz w:val="20"/>
                <w:szCs w:val="20"/>
                <w:color w:val="auto"/>
              </w:rPr>
            </w:pPr>
            <w:r>
              <w:rPr>
                <w:rFonts w:ascii="Times New Roman" w:cs="Times New Roman" w:eastAsia="Times New Roman" w:hAnsi="Times New Roman"/>
                <w:sz w:val="17"/>
                <w:szCs w:val="17"/>
                <w:color w:val="auto"/>
              </w:rPr>
              <w:t>F-53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3630295</wp:posOffset>
            </wp:positionV>
            <wp:extent cx="7178675" cy="666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7">
                      <a:extLst>
                        <a:ext uri="{28A0092B-C50C-407E-A947-70E740481C1C}"/>
                      </a:extLst>
                    </a:blip>
                    <a:srcRect/>
                    <a:stretch>
                      <a:fillRect/>
                    </a:stretch>
                  </pic:blipFill>
                  <pic:spPr bwMode="auto">
                    <a:xfrm>
                      <a:off x="0" y="0"/>
                      <a:ext cx="7178675" cy="66675"/>
                    </a:xfrm>
                    <a:prstGeom prst="rect">
                      <a:avLst/>
                    </a:prstGeom>
                    <a:noFill/>
                  </pic:spPr>
                </pic:pic>
              </a:graphicData>
            </a:graphic>
          </wp:anchor>
        </w:drawing>
      </w:r>
    </w:p>
    <w:p>
      <w:pPr>
        <w:sectPr>
          <w:pgSz w:w="11900" w:h="16838" w:orient="portrait"/>
          <w:cols w:equalWidth="0" w:num="1">
            <w:col w:w="10960"/>
          </w:cols>
          <w:pgMar w:left="320" w:top="472" w:right="6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14.</w:t>
        <w:tab/>
        <w:t>INCOME TAXES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The income tax expense consisted of:</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7"/>
                <w:szCs w:val="17"/>
                <w:color w:val="auto"/>
              </w:rPr>
              <w:t>Year Ended December 31,</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46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7"/>
                <w:szCs w:val="17"/>
                <w:color w:val="auto"/>
              </w:rPr>
            </w:pPr>
          </w:p>
        </w:tc>
      </w:tr>
      <w:tr>
        <w:trPr>
          <w:trHeight w:val="20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 current:</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87"/>
              </w:rPr>
              <w:t>                  </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88"/>
              </w:rPr>
              <w:t>                </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7,665</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7,773</w:t>
            </w:r>
          </w:p>
        </w:tc>
        <w:tc>
          <w:tcPr>
            <w:tcW w:w="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in lieu of Macau Complementary Tax on dividends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7,021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5,650</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11,613</w:t>
            </w: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Philippine Corporate Income Tax</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Philippine withholding tax on dividends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5,934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5,515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2,566</w:t>
            </w: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in other jurisdictions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w:t>
            </w:r>
          </w:p>
        </w:tc>
      </w:tr>
      <w:tr>
        <w:trPr>
          <w:trHeight w:val="215"/>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Sub-total</w:t>
            </w:r>
          </w:p>
        </w:tc>
        <w:tc>
          <w:tcPr>
            <w:tcW w:w="19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19,899</w:t>
            </w:r>
          </w:p>
        </w:tc>
        <w:tc>
          <w:tcPr>
            <w:tcW w:w="120" w:type="dxa"/>
            <w:vAlign w:val="bottom"/>
            <w:tcBorders>
              <w:bottom w:val="single" w:sz="8" w:color="CCEEFF"/>
            </w:tcBorders>
          </w:tcPr>
          <w:p>
            <w:pPr>
              <w:spacing w:after="0"/>
              <w:rPr>
                <w:sz w:val="18"/>
                <w:szCs w:val="18"/>
                <w:color w:val="auto"/>
              </w:rPr>
            </w:pPr>
          </w:p>
        </w:tc>
      </w:tr>
      <w:tr>
        <w:trPr>
          <w:trHeight w:val="215"/>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under provision of income taxes in prior years: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tcPr>
          <w:p>
            <w:pPr>
              <w:spacing w:after="0"/>
              <w:rPr>
                <w:sz w:val="18"/>
                <w:szCs w:val="18"/>
                <w:color w:val="auto"/>
              </w:rPr>
            </w:pP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in lieu of Macau Complementary Tax on dividends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(1,327)</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(10,394)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(450)</w:t>
            </w: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Philippine Corporate Income Tax</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in other jurisdictions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w:t>
            </w:r>
          </w:p>
        </w:tc>
      </w:tr>
      <w:tr>
        <w:trPr>
          <w:trHeight w:val="215"/>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5"/>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 - deferred: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(7,931)</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640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(154)</w:t>
            </w: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Philippine Corporate Income Tax</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3,366</w:t>
            </w:r>
          </w:p>
        </w:tc>
      </w:tr>
      <w:tr>
        <w:trPr>
          <w:trHeight w:val="209"/>
        </w:trPr>
        <w:tc>
          <w:tcPr>
            <w:tcW w:w="4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Cyprus Corporate Income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575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589</w:t>
            </w:r>
          </w:p>
        </w:tc>
      </w:tr>
      <w:tr>
        <w:trPr>
          <w:trHeight w:val="20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in other jurisdictions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w:t>
            </w:r>
          </w:p>
        </w:tc>
      </w:tr>
      <w:tr>
        <w:trPr>
          <w:trHeight w:val="215"/>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Sub-total</w:t>
            </w:r>
          </w:p>
        </w:tc>
        <w:tc>
          <w:tcPr>
            <w:tcW w:w="19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120" w:type="dxa"/>
            <w:vAlign w:val="bottom"/>
            <w:tcBorders>
              <w:bottom w:val="single" w:sz="8" w:color="CCEEFF"/>
            </w:tcBorders>
          </w:tcPr>
          <w:p>
            <w:pPr>
              <w:spacing w:after="0"/>
              <w:rPr>
                <w:sz w:val="18"/>
                <w:szCs w:val="18"/>
                <w:color w:val="auto"/>
              </w:rPr>
            </w:pPr>
          </w:p>
        </w:tc>
      </w:tr>
      <w:tr>
        <w:trPr>
          <w:trHeight w:val="215"/>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tax expense</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2,829</w:t>
            </w: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 xml:space="preserve">$  </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21,610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13,422</w:t>
            </w:r>
          </w:p>
        </w:tc>
      </w:tr>
      <w:tr>
        <w:trPr>
          <w:trHeight w:val="20"/>
        </w:trPr>
        <w:tc>
          <w:tcPr>
            <w:tcW w:w="4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600" w:type="dxa"/>
            <w:vAlign w:val="bottom"/>
          </w:tcPr>
          <w:p>
            <w:pPr>
              <w:spacing w:after="0"/>
              <w:rPr>
                <w:sz w:val="24"/>
                <w:szCs w:val="24"/>
                <w:color w:val="auto"/>
              </w:rPr>
            </w:pPr>
          </w:p>
        </w:tc>
        <w:tc>
          <w:tcPr>
            <w:tcW w:w="2040" w:type="dxa"/>
            <w:vAlign w:val="bottom"/>
            <w:gridSpan w:val="2"/>
          </w:tcPr>
          <w:p>
            <w:pPr>
              <w:jc w:val="right"/>
              <w:ind w:right="1580"/>
              <w:spacing w:after="0"/>
              <w:rPr>
                <w:sz w:val="20"/>
                <w:szCs w:val="20"/>
                <w:color w:val="auto"/>
              </w:rPr>
            </w:pPr>
            <w:r>
              <w:rPr>
                <w:rFonts w:ascii="Times New Roman" w:cs="Times New Roman" w:eastAsia="Times New Roman" w:hAnsi="Times New Roman"/>
                <w:sz w:val="17"/>
                <w:szCs w:val="17"/>
                <w:color w:val="auto"/>
              </w:rPr>
              <w:t>F-54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119" w:right="61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4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reconciliation of the Macau Complementary Tax rate and the Company’s effective tax rate for the year ended December 31, 2025 under the new accounting standard is as follows:</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6"/>
          </w:tcPr>
          <w:p>
            <w:pPr>
              <w:jc w:val="right"/>
              <w:ind w:right="200"/>
              <w:spacing w:after="0"/>
              <w:rPr>
                <w:sz w:val="20"/>
                <w:szCs w:val="20"/>
                <w:color w:val="auto"/>
              </w:rPr>
            </w:pPr>
            <w:r>
              <w:rPr>
                <w:rFonts w:ascii="Times New Roman" w:cs="Times New Roman" w:eastAsia="Times New Roman" w:hAnsi="Times New Roman"/>
                <w:sz w:val="17"/>
                <w:szCs w:val="17"/>
                <w:color w:val="auto"/>
              </w:rPr>
              <w:t>Year Ended December 31, 2025</w:t>
            </w:r>
          </w:p>
        </w:tc>
      </w:tr>
      <w:tr>
        <w:trPr>
          <w:trHeight w:val="202"/>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360" w:type="dxa"/>
            <w:vAlign w:val="bottom"/>
            <w:tcBorders>
              <w:top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auto"/>
                <w:w w:val="96"/>
              </w:rPr>
              <w:t>Amount </w:t>
            </w: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color w:val="auto"/>
                <w:w w:val="71"/>
              </w:rPr>
              <w:t> </w:t>
            </w:r>
          </w:p>
        </w:tc>
        <w:tc>
          <w:tcPr>
            <w:tcW w:w="8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1"/>
              </w:rPr>
              <w:t>Percent </w:t>
            </w:r>
          </w:p>
        </w:tc>
        <w:tc>
          <w:tcPr>
            <w:tcW w:w="6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 Complementary Tax rate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17,794</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Other jurisdictions tax effects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9"/>
                <w:szCs w:val="9"/>
                <w:color w:val="auto"/>
                <w:w w:val="70"/>
              </w:rPr>
              <w:t>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5"/>
              </w:rPr>
              <w:t>                   </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Tax rate differential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(13,726)</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(9.3)%</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(37,986)</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(25.6)%</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73,859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49.8%</w:t>
            </w:r>
          </w:p>
        </w:tc>
      </w:tr>
      <w:tr>
        <w:trPr>
          <w:trHeight w:val="222"/>
        </w:trPr>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Net foreign currency exchange difference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7,338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1,885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Share-based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1,717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264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Philippines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Tax rate differential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6,195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Withholding tax on 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5,934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Profits generated by gaming operations exempted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(24,550)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(16.6)%</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9,693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Cyprus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Tax rate differential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Enacted change in tax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(7,631)</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17,432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w:t>
            </w:r>
          </w:p>
        </w:tc>
      </w:tr>
      <w:tr>
        <w:trPr>
          <w:trHeight w:val="222"/>
        </w:trPr>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Tax incentive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(2,400)</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Sri Lanka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Tax rate differential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(15,328)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Enacted change in tax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(689)</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(0.5)%</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22,331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(622)</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(0.4)%</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jurisdictions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507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Payments in lieu of Macau Complementary Tax on 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7,843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Profits generated by gaming operations exempted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(84,652)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(57.1)%</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18,207</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12.3%</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Impairment of 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6,951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1,324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0.9%</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0.9%</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1,746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(16,277)</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(11.0)%</w:t>
            </w:r>
          </w:p>
        </w:tc>
      </w:tr>
      <w:tr>
        <w:trPr>
          <w:trHeight w:val="209"/>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r>
      <w:tr>
        <w:trPr>
          <w:trHeight w:val="215"/>
        </w:trPr>
        <w:tc>
          <w:tcPr>
            <w:tcW w:w="540" w:type="dxa"/>
            <w:vAlign w:val="bottom"/>
          </w:tcPr>
          <w:p>
            <w:pPr>
              <w:spacing w:after="0"/>
              <w:rPr>
                <w:sz w:val="18"/>
                <w:szCs w:val="18"/>
                <w:color w:val="auto"/>
              </w:rPr>
            </w:pPr>
          </w:p>
        </w:tc>
        <w:tc>
          <w:tcPr>
            <w:tcW w:w="70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Effective tax rate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Note:</w:t>
            </w:r>
          </w:p>
        </w:tc>
        <w:tc>
          <w:tcPr>
            <w:tcW w:w="9600" w:type="dxa"/>
            <w:vAlign w:val="bottom"/>
            <w:gridSpan w:val="10"/>
          </w:tcPr>
          <w:p>
            <w:pPr>
              <w:ind w:left="200"/>
              <w:spacing w:after="0"/>
              <w:rPr>
                <w:sz w:val="20"/>
                <w:szCs w:val="20"/>
                <w:color w:val="auto"/>
              </w:rPr>
            </w:pPr>
            <w:r>
              <w:rPr>
                <w:rFonts w:ascii="Times New Roman" w:cs="Times New Roman" w:eastAsia="Times New Roman" w:hAnsi="Times New Roman"/>
                <w:sz w:val="16"/>
                <w:szCs w:val="16"/>
                <w:color w:val="auto"/>
              </w:rPr>
              <w:t>Intercompany transactions which are considered as nondeductible expense in one jurisdiction and nontaxable income in another jurisdiction were</w:t>
            </w:r>
          </w:p>
        </w:tc>
      </w:tr>
      <w:tr>
        <w:trPr>
          <w:trHeight w:val="204"/>
        </w:trPr>
        <w:tc>
          <w:tcPr>
            <w:tcW w:w="540" w:type="dxa"/>
            <w:vAlign w:val="bottom"/>
          </w:tcPr>
          <w:p>
            <w:pPr>
              <w:spacing w:after="0"/>
              <w:rPr>
                <w:sz w:val="17"/>
                <w:szCs w:val="17"/>
                <w:color w:val="auto"/>
              </w:rPr>
            </w:pPr>
          </w:p>
        </w:tc>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eliminated in the tax rate reconciliation.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9"/>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80" w:type="dxa"/>
            <w:vAlign w:val="bottom"/>
          </w:tcPr>
          <w:p>
            <w:pPr>
              <w:ind w:left="3560"/>
              <w:spacing w:after="0"/>
              <w:rPr>
                <w:sz w:val="20"/>
                <w:szCs w:val="20"/>
                <w:color w:val="auto"/>
              </w:rPr>
            </w:pPr>
            <w:r>
              <w:rPr>
                <w:rFonts w:ascii="Times New Roman" w:cs="Times New Roman" w:eastAsia="Times New Roman" w:hAnsi="Times New Roman"/>
                <w:sz w:val="17"/>
                <w:szCs w:val="17"/>
                <w:color w:val="auto"/>
              </w:rPr>
              <w:t>F-55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10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reconciliation of the income tax expense from loss before income tax per the accompanying consolidated statements of operations for the years ended December 31, 2024 and 2023 is as follows:</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jc w:val="right"/>
              <w:ind w:right="54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75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bottom w:val="single" w:sz="8" w:color="CCEEFF"/>
            </w:tcBorders>
          </w:tcPr>
          <w:p>
            <w:pPr>
              <w:spacing w:after="0"/>
              <w:rPr>
                <w:sz w:val="17"/>
                <w:szCs w:val="17"/>
                <w:color w:val="auto"/>
              </w:rPr>
            </w:pPr>
          </w:p>
        </w:tc>
      </w:tr>
      <w:tr>
        <w:trPr>
          <w:trHeight w:val="202"/>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(6,349)</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(401,908)</w:t>
            </w:r>
          </w:p>
        </w:tc>
        <w:tc>
          <w:tcPr>
            <w:tcW w:w="220" w:type="dxa"/>
            <w:vAlign w:val="bottom"/>
            <w:shd w:val="clear" w:color="auto" w:fill="CCEEFF"/>
          </w:tcPr>
          <w:p>
            <w:pPr>
              <w:spacing w:after="0"/>
              <w:rPr>
                <w:sz w:val="17"/>
                <w:szCs w:val="17"/>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Macau Complementary Tax rate</w:t>
            </w:r>
          </w:p>
        </w:tc>
        <w:tc>
          <w:tcPr>
            <w:tcW w:w="22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at Macau Complementary Tax rate</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(762)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(48,229)</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Payments in lieu of Macau Complementary Tax on dividends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7,021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5,650</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different tax rates of subsidiaries operating in other jurisdictions</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(14,719)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(13,422)</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Over provision in prior years</w:t>
            </w:r>
          </w:p>
        </w:tc>
        <w:tc>
          <w:tcPr>
            <w:tcW w:w="22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(751)</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(2,395)</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income for which no income tax expense is payable</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(29,371)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(14,178)</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Effect of expenses for which no income tax benefit is receivable</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95,116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80,455</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profits generated by gaming operations exempted</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(92,598)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(75,403)</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24,123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27,004</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 tax losses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33,551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53,940</w:t>
            </w:r>
          </w:p>
        </w:tc>
      </w:tr>
      <w:tr>
        <w:trPr>
          <w:trHeight w:val="215"/>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21,610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13,422</w:t>
            </w:r>
          </w:p>
        </w:tc>
        <w:tc>
          <w:tcPr>
            <w:tcW w:w="22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40"/>
        <w:spacing w:after="0" w:line="263" w:lineRule="auto"/>
        <w:rPr>
          <w:sz w:val="20"/>
          <w:szCs w:val="20"/>
          <w:color w:val="auto"/>
        </w:rPr>
      </w:pPr>
      <w:r>
        <w:rPr>
          <w:rFonts w:ascii="Times New Roman" w:cs="Times New Roman" w:eastAsia="Times New Roman" w:hAnsi="Times New Roman"/>
          <w:sz w:val="17"/>
          <w:szCs w:val="17"/>
          <w:color w:val="auto"/>
        </w:rPr>
        <w:t>Melco Resorts and certain of its subsidiaries are exempt from tax in the Cayman Islands or British Virgin Islands, where they are incorporated, while Melco Resorts is subject to Hong Kong Profits Tax on profits from its activities conducted in Hong Kong. Certain subsidiaries incorporated or conducting businesses in Macau, Hong Kong, the Philippines, Cyprus, Sri Lanka and other jurisdictions are subject to Macau Complementary Tax, Hong Kong Profits Tax, Philippine Corporate Income Tax, Cyprus Corporate Income Tax, Sri Lanka Corporate Income Tax and income tax in other jurisdictions, respectively, during the years ended December 31, 2025 and 2024, and Macau Complementary Tax, Hong Kong Profits Tax, Philippine Corporate Income Tax, Cyprus Corporate Income Tax and income tax in other jurisdictions, respectively, during the year ended December 31, 2023.</w:t>
      </w:r>
    </w:p>
    <w:p>
      <w:pPr>
        <w:spacing w:after="0" w:line="283" w:lineRule="exact"/>
        <w:rPr>
          <w:sz w:val="20"/>
          <w:szCs w:val="20"/>
          <w:color w:val="auto"/>
        </w:rPr>
      </w:pPr>
    </w:p>
    <w:p>
      <w:pPr>
        <w:ind w:left="720" w:right="220"/>
        <w:spacing w:after="0" w:line="269" w:lineRule="auto"/>
        <w:rPr>
          <w:sz w:val="20"/>
          <w:szCs w:val="20"/>
          <w:color w:val="auto"/>
        </w:rPr>
      </w:pPr>
      <w:r>
        <w:rPr>
          <w:rFonts w:ascii="Times New Roman" w:cs="Times New Roman" w:eastAsia="Times New Roman" w:hAnsi="Times New Roman"/>
          <w:sz w:val="17"/>
          <w:szCs w:val="17"/>
          <w:color w:val="auto"/>
        </w:rPr>
        <w:t>Macau Complementary Tax, Hong Kong Profits Tax, Cyprus Corporate Income Tax and income tax in other jurisdictions have been provided at 12%, 16.5%, 12.5% and the respective tax rates in other jurisdictions, on the estimated taxable income earned in or derived from the respective jurisdictions, respectively, during the years ended December 31, 2025, 2024 and 2023, if applicable. On December 31, 2025, the Cyprus government enacted a change in the Cyprus Corporate Income Tax rate from 12.5% to 15%, effective from January 1, 2026.</w:t>
      </w:r>
    </w:p>
    <w:p>
      <w:pPr>
        <w:spacing w:after="0" w:line="65" w:lineRule="exact"/>
        <w:rPr>
          <w:sz w:val="20"/>
          <w:szCs w:val="20"/>
          <w:color w:val="auto"/>
        </w:rPr>
      </w:pPr>
    </w:p>
    <w:p>
      <w:pPr>
        <w:ind w:left="720" w:right="100"/>
        <w:spacing w:after="0" w:line="276" w:lineRule="auto"/>
        <w:rPr>
          <w:sz w:val="20"/>
          <w:szCs w:val="20"/>
          <w:color w:val="auto"/>
        </w:rPr>
      </w:pPr>
      <w:r>
        <w:rPr>
          <w:rFonts w:ascii="Times New Roman" w:cs="Times New Roman" w:eastAsia="Times New Roman" w:hAnsi="Times New Roman"/>
          <w:sz w:val="17"/>
          <w:szCs w:val="17"/>
          <w:color w:val="auto"/>
        </w:rPr>
        <w:t>In the Philippines, the Corporate Recovery and Tax Incentives for Enterprises (“CREATE”) took effect on April 11, 2021. CREATE reduced the minimum corporate income tax rate in the Philippines from 2% to 1% for the period from July 1, 2020 to June 30, 2023 and the corporate income tax rate in the Philippines from 30% to 25% starting July 1, 2020.</w:t>
      </w:r>
    </w:p>
    <w:p>
      <w:pPr>
        <w:spacing w:after="0" w:line="57" w:lineRule="exact"/>
        <w:rPr>
          <w:sz w:val="20"/>
          <w:szCs w:val="20"/>
          <w:color w:val="auto"/>
        </w:rPr>
      </w:pPr>
    </w:p>
    <w:p>
      <w:pPr>
        <w:ind w:left="720" w:right="420"/>
        <w:spacing w:after="0" w:line="276" w:lineRule="auto"/>
        <w:rPr>
          <w:sz w:val="20"/>
          <w:szCs w:val="20"/>
          <w:color w:val="auto"/>
        </w:rPr>
      </w:pPr>
      <w:r>
        <w:rPr>
          <w:rFonts w:ascii="Times New Roman" w:cs="Times New Roman" w:eastAsia="Times New Roman" w:hAnsi="Times New Roman"/>
          <w:sz w:val="17"/>
          <w:szCs w:val="17"/>
          <w:color w:val="auto"/>
        </w:rPr>
        <w:t>The subsidiaries incorporated in Sri Lanka are subject to Sri Lanka corporate income tax of 40%, which is increased to 45% with effect from April 1, 2025 on profits from betting and gaming activities while profits of other businesses are subject to tax of 30% on profit earned in or derived from Sri Lanka and abroad.</w:t>
      </w:r>
    </w:p>
    <w:p>
      <w:pPr>
        <w:spacing w:after="0" w:line="57"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Pursuant to a Dispatch of the Chief Executive of Macau dated January 29, 2024, MRM benefits from the Macau Complementary Tax exemption on profits generated from gaming operations under the Concession for the period of five years from 2023 to 2027. MRM’s non-gaming profits are subject to the Macau</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F-56</w:t>
      </w:r>
    </w:p>
    <w:p>
      <w:pPr>
        <w:sectPr>
          <w:pgSz w:w="11900" w:h="16838" w:orient="portrait"/>
          <w:cols w:equalWidth="0" w:num="1">
            <w:col w:w="10960"/>
          </w:cols>
          <w:pgMar w:left="320" w:top="472" w:right="6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8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Complementary Tax and its casino revenues remain subject to the Macau special gaming tax and other levies in accordance with the Concession effective on January 1, 2023. Studio City Entertainment Limited (“SCE”), a subsidiary of Melco Resorts, applied for an extension of the Macau Complementary Tax exemption on profits generated from income from MRM for 2022 under the previous gaming subconcession and for the period of 10 years from 2023 to 2032 under the Concession to the extent that such income is derived from Studio City gaming operations and has been subject to gaming tax. These applications are subject to the discretionary approval of the Macau government. The application for the Macau Complementary Tax exemption for 2023 to 2032 was confirmed to be rejected in September 2024. The dividend distributions of SCE from income tax exempted profits to its shareholders continue to be subject to the Macau Complementary Tax.</w:t>
      </w:r>
    </w:p>
    <w:p>
      <w:pPr>
        <w:spacing w:after="0" w:line="68" w:lineRule="exact"/>
        <w:rPr>
          <w:rFonts w:ascii="Times New Roman" w:cs="Times New Roman" w:eastAsia="Times New Roman" w:hAnsi="Times New Roman"/>
          <w:sz w:val="17"/>
          <w:szCs w:val="17"/>
          <w:b w:val="1"/>
          <w:bCs w:val="1"/>
          <w:color w:val="auto"/>
        </w:rPr>
      </w:pPr>
    </w:p>
    <w:p>
      <w:pPr>
        <w:ind w:left="720" w:right="1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gaming operations of MRL, the operator of City of Dreams Manila, are exempt from Philippine Corporate Income Tax, among other taxes, pursuant to the Philippine Amusement and Gaming Corporation (“PAGCOR”) charter as a result of its payment of the 5% franchise tax based on gross gaming revenue in the Philippines, in lieu of all other taxes.</w:t>
      </w:r>
    </w:p>
    <w:p>
      <w:pPr>
        <w:spacing w:after="0" w:line="57" w:lineRule="exact"/>
        <w:rPr>
          <w:rFonts w:ascii="Times New Roman" w:cs="Times New Roman" w:eastAsia="Times New Roman" w:hAnsi="Times New Roman"/>
          <w:sz w:val="17"/>
          <w:szCs w:val="17"/>
          <w:b w:val="1"/>
          <w:bCs w:val="1"/>
          <w:color w:val="auto"/>
        </w:rPr>
      </w:pPr>
    </w:p>
    <w:p>
      <w:pPr>
        <w:ind w:left="7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Had MRM and MRL not have been entitled to the income tax exemption on profits generated by gaming operations for the years ended December 31, 2025 and 2024 in Macau and the Philippines, respectively, the Company’s consolidated net income attributable to Melco Resorts &amp; Entertainment Limited for the years ended December 31, 2025 and 2024 would have been decreased by $109,111 and $92,463 and diluted net income attributable to Melco Resorts &amp; Entertainment Limited per share would have been decreased by $0.091 and $0.071 per share, respectively. Had MRM and MRL not have been entitled to the income tax exemption on profits generated by gaming operations for the year ended December 31, 2023 in Macau and the Philippines, respectively, and if SCE’s application for the extended exemption from Macau Complementary Tax on profits generated from income received from MRM were rejected during the year ended December 31, 2023, the Company’s consolidated net loss attributable to Melco Resorts &amp; Entertainment Limited for the year ended December 31, 2023 would have been increased by $75,190 and diluted net loss attributable to Melco Resorts &amp; Entertainment Limited per share would have been increased by $0.057 per share.</w:t>
      </w:r>
    </w:p>
    <w:p>
      <w:pPr>
        <w:spacing w:after="0" w:line="73" w:lineRule="exact"/>
        <w:rPr>
          <w:rFonts w:ascii="Times New Roman" w:cs="Times New Roman" w:eastAsia="Times New Roman" w:hAnsi="Times New Roman"/>
          <w:sz w:val="17"/>
          <w:szCs w:val="17"/>
          <w:b w:val="1"/>
          <w:bCs w:val="1"/>
          <w:color w:val="auto"/>
        </w:rPr>
      </w:pPr>
    </w:p>
    <w:p>
      <w:pPr>
        <w:ind w:left="720" w:right="10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February 2024, MRM entered into an agreement with the Macau government in relation to payments in lieu of the Macau Complementary Tax which would otherwise be borne by the shareholders of MRM on dividend distributions from gaming profits for the period from January 1, 2023 to December 31, 2025 under the Concession. Such payments are required regardless of whether dividends are actually distributed or whether MRM has distributable profits in the relevant year. During the years ended December 31, 2025, 2024 and 2023, an estimated amount of $7,843, $7,021 and $5,650 was provided for such arrangement, respectively. In October 2025, MRM submitted an application for an extension to the agreement for an annual payment for the period from 2026 through 2027, and such application is currently under review by the Macau government.</w:t>
      </w:r>
    </w:p>
    <w:p>
      <w:pPr>
        <w:spacing w:after="0" w:line="282" w:lineRule="exact"/>
        <w:rPr>
          <w:rFonts w:ascii="Times New Roman" w:cs="Times New Roman" w:eastAsia="Times New Roman" w:hAnsi="Times New Roman"/>
          <w:sz w:val="17"/>
          <w:szCs w:val="17"/>
          <w:b w:val="1"/>
          <w:bCs w:val="1"/>
          <w:color w:val="auto"/>
        </w:rPr>
      </w:pPr>
    </w:p>
    <w:p>
      <w:pPr>
        <w:ind w:left="720"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Certain jurisdictions in which the Ultimate Parent operates have enacted Global Anti-Base Erosion Model Rules (“Pillar Two”) that became effective on January 1, 2024. The Company and its Ultimate Parent are in scope of the enacted legislation and have performed an assessment of the Company’s potential exposure to Pillar Two income taxes, which is based on the most recent tax filings, country-by-country reporting and financial information for the constituent entities of the Ultimate Parent. Based on management’s best estimate, the Company does not have exposure to Pillar Two top-up taxes for the years ended December 31, 2025 and 2024.</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F-57</w:t>
      </w:r>
    </w:p>
    <w:p>
      <w:pPr>
        <w:sectPr>
          <w:pgSz w:w="11900" w:h="16838" w:orient="portrait"/>
          <w:cols w:equalWidth="0" w:num="1">
            <w:col w:w="10940"/>
          </w:cols>
          <w:pgMar w:left="320" w:top="472" w:right="6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reconciliation of the Macau Complementary Tax rate and the Company’s effective tax rate of 1.9% for the year ended December 31, 2025 was disclosed in the table above under the new accounting standard. The effective tax rates for the years ended December 31, 2024 and 2023</w:t>
      </w:r>
    </w:p>
    <w:p>
      <w:pPr>
        <w:spacing w:after="0" w:line="1" w:lineRule="exact"/>
        <w:rPr>
          <w:rFonts w:ascii="Times New Roman" w:cs="Times New Roman" w:eastAsia="Times New Roman" w:hAnsi="Times New Roman"/>
          <w:sz w:val="17"/>
          <w:szCs w:val="17"/>
          <w:b w:val="1"/>
          <w:bCs w:val="1"/>
          <w:color w:val="auto"/>
        </w:rPr>
      </w:pPr>
    </w:p>
    <w:p>
      <w:pPr>
        <w:ind w:left="720" w:right="1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were (340.37)% and (3.34)%, respectively, such rates differ from the statutory Macau Complementary Tax rate of 12%, where the majority of the Company’s operations are located, primarily due to the effects of expired tax losses, expenses for which no income tax benefit is receivable, income for which no income tax expense is payable, changes in valuation allowances, profits generated by gaming operations being exempted from Macau Complementary Tax and Philippine Corporate Income Tax and different tax rates of subsidiaries operating in other jurisdictions for the years ended December 31, 2024 and 2023.</w:t>
      </w:r>
    </w:p>
    <w:p>
      <w:pPr>
        <w:spacing w:after="0" w:line="177"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income taxes paid, net of refunds,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9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Year Ended</w:t>
            </w:r>
          </w:p>
        </w:tc>
      </w:tr>
      <w:tr>
        <w:trPr>
          <w:trHeight w:val="227"/>
        </w:trPr>
        <w:tc>
          <w:tcPr>
            <w:tcW w:w="9200" w:type="dxa"/>
            <w:vAlign w:val="bottom"/>
          </w:tcPr>
          <w:p>
            <w:pPr>
              <w:spacing w:after="0"/>
              <w:rPr>
                <w:sz w:val="19"/>
                <w:szCs w:val="19"/>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92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r>
      <w:tr>
        <w:trPr>
          <w:trHeight w:val="202"/>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6,199</w:t>
            </w:r>
          </w:p>
        </w:tc>
        <w:tc>
          <w:tcPr>
            <w:tcW w:w="40" w:type="dxa"/>
            <w:vAlign w:val="bottom"/>
          </w:tcPr>
          <w:p>
            <w:pPr>
              <w:spacing w:after="0"/>
              <w:rPr>
                <w:sz w:val="18"/>
                <w:szCs w:val="18"/>
                <w:color w:val="auto"/>
              </w:rPr>
            </w:pPr>
          </w:p>
        </w:tc>
      </w:tr>
      <w:tr>
        <w:trPr>
          <w:trHeight w:val="209"/>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w:t>
            </w:r>
          </w:p>
        </w:tc>
        <w:tc>
          <w:tcPr>
            <w:tcW w:w="40" w:type="dxa"/>
            <w:vAlign w:val="bottom"/>
            <w:shd w:val="clear" w:color="auto" w:fill="CCEEFF"/>
          </w:tcPr>
          <w:p>
            <w:pPr>
              <w:spacing w:after="0"/>
              <w:rPr>
                <w:sz w:val="18"/>
                <w:szCs w:val="18"/>
                <w:color w:val="auto"/>
              </w:rPr>
            </w:pPr>
          </w:p>
        </w:tc>
      </w:tr>
      <w:tr>
        <w:trPr>
          <w:trHeight w:val="215"/>
        </w:trPr>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Total income taxes paid, net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13,746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The net deferred tax liabilities as of December 31, 2025 and 2024 consisted of the following: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6"/>
          </w:tcPr>
          <w:p>
            <w:pPr>
              <w:jc w:val="right"/>
              <w:ind w:right="418"/>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7"/>
                <w:szCs w:val="17"/>
                <w:color w:val="auto"/>
              </w:rPr>
            </w:pPr>
          </w:p>
        </w:tc>
      </w:tr>
      <w:tr>
        <w:trPr>
          <w:trHeight w:val="189"/>
        </w:trPr>
        <w:tc>
          <w:tcPr>
            <w:tcW w:w="8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Deferred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losses carried forward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191,685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216,542</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247,041</w:t>
            </w: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42,373</w:t>
            </w:r>
          </w:p>
        </w:tc>
        <w:tc>
          <w:tcPr>
            <w:tcW w:w="10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39,101</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38,063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19,300</w:t>
            </w:r>
          </w:p>
        </w:tc>
      </w:tr>
      <w:tr>
        <w:trPr>
          <w:trHeight w:val="215"/>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520,103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521,984</w:t>
            </w:r>
          </w:p>
        </w:tc>
        <w:tc>
          <w:tcPr>
            <w:tcW w:w="120" w:type="dxa"/>
            <w:vAlign w:val="bottom"/>
          </w:tcPr>
          <w:p>
            <w:pPr>
              <w:spacing w:after="0"/>
              <w:rPr>
                <w:sz w:val="18"/>
                <w:szCs w:val="18"/>
                <w:color w:val="auto"/>
              </w:rPr>
            </w:pP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9"/>
              </w:rPr>
              <w:t>(472,493)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(477,834)</w:t>
            </w:r>
          </w:p>
        </w:tc>
      </w:tr>
      <w:tr>
        <w:trPr>
          <w:trHeight w:val="221"/>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47,610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44,150</w:t>
            </w:r>
          </w:p>
        </w:tc>
        <w:tc>
          <w:tcPr>
            <w:tcW w:w="120" w:type="dxa"/>
            <w:vAlign w:val="bottom"/>
          </w:tcPr>
          <w:p>
            <w:pPr>
              <w:spacing w:after="0"/>
              <w:rPr>
                <w:sz w:val="19"/>
                <w:szCs w:val="19"/>
                <w:color w:val="auto"/>
              </w:rPr>
            </w:pP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(20,988)</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(20,366)</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Land use rights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(34,274)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(35,546)</w:t>
            </w: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(11,220)</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(8,800)</w:t>
            </w:r>
          </w:p>
        </w:tc>
      </w:tr>
      <w:tr>
        <w:trPr>
          <w:trHeight w:val="20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capital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(3,446)</w:t>
            </w:r>
          </w:p>
        </w:tc>
      </w:tr>
      <w:tr>
        <w:trPr>
          <w:trHeight w:val="209"/>
        </w:trPr>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(12,081)</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(12,700)</w:t>
            </w:r>
          </w:p>
        </w:tc>
      </w:tr>
      <w:tr>
        <w:trPr>
          <w:trHeight w:val="26"/>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(82,200)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(80,858)</w:t>
            </w:r>
          </w:p>
        </w:tc>
      </w:tr>
      <w:tr>
        <w:trPr>
          <w:trHeight w:val="215"/>
        </w:trPr>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(34,590</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40"/>
        <w:spacing w:after="0" w:line="276" w:lineRule="auto"/>
        <w:rPr>
          <w:sz w:val="20"/>
          <w:szCs w:val="20"/>
          <w:color w:val="auto"/>
        </w:rPr>
      </w:pPr>
      <w:r>
        <w:rPr>
          <w:rFonts w:ascii="Times New Roman" w:cs="Times New Roman" w:eastAsia="Times New Roman" w:hAnsi="Times New Roman"/>
          <w:sz w:val="17"/>
          <w:szCs w:val="17"/>
          <w:color w:val="auto"/>
        </w:rPr>
        <w:t>As of December 31, 2025 and 2024, valuation allowances of $472,493 and $477,834 were provided, respectively, as management believes it is more likely than not that these deferred tax assets will not be realized. As of December 31, 2025, adjusted operating tax losses carried forward of $29,249 have no expiry date and the remaining amount of adjusted operating tax losses carried forward of $1,172,790 will expire by</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F-58</w:t>
      </w:r>
    </w:p>
    <w:p>
      <w:pPr>
        <w:sectPr>
          <w:pgSz w:w="11900" w:h="16838" w:orient="portrait"/>
          <w:cols w:equalWidth="0" w:num="1">
            <w:col w:w="10960"/>
          </w:cols>
          <w:pgMar w:left="320" w:top="472" w:right="6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2026 through 2031. Adjusted operating tax losses carried forward of $532,028 expired during the year ended December 31, 2025.</w:t>
      </w:r>
    </w:p>
    <w:p>
      <w:pPr>
        <w:spacing w:after="0" w:line="118" w:lineRule="exact"/>
        <w:rPr>
          <w:rFonts w:ascii="Times New Roman" w:cs="Times New Roman" w:eastAsia="Times New Roman" w:hAnsi="Times New Roman"/>
          <w:sz w:val="17"/>
          <w:szCs w:val="17"/>
          <w:b w:val="1"/>
          <w:bCs w:val="1"/>
          <w:color w:val="auto"/>
        </w:rPr>
      </w:pPr>
    </w:p>
    <w:p>
      <w:pPr>
        <w:ind w:left="720" w:right="28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57" w:lineRule="exact"/>
        <w:rPr>
          <w:rFonts w:ascii="Times New Roman" w:cs="Times New Roman" w:eastAsia="Times New Roman" w:hAnsi="Times New Roman"/>
          <w:sz w:val="17"/>
          <w:szCs w:val="17"/>
          <w:b w:val="1"/>
          <w:bCs w:val="1"/>
          <w:color w:val="auto"/>
        </w:rPr>
      </w:pPr>
    </w:p>
    <w:p>
      <w:pPr>
        <w:ind w:left="720" w:right="2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Aggregate undistributed earnings of certain of Melco Resorts’ foreign subsidiaries available for distribution to Melco Resorts of approximately $745,397 and $745,397 as of December 31, 2025 and 2024, respectively, are considered to be indefinitely reinvested. Accordingly, no provision has been made for the dividend withholding taxes that would be payable upon the distribution of those amounts to Melco Resorts. If those earnings were to be distributed or they were determined to be no longer permanently reinvested, Melco Resorts would have to record a deferred income tax liability in respect of those undistributed earnings of approximately $89,448 and $89,448 as of December 31, 2025 and 2024, respectively.</w:t>
      </w:r>
    </w:p>
    <w:p>
      <w:pPr>
        <w:spacing w:after="0" w:line="279"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reconciliation of the beginning and ending amounts of unrecognized tax benefits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5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58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9"/>
              </w:rPr>
              <w:t>2025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9"/>
              </w:rPr>
              <w:t>2023</w:t>
            </w:r>
          </w:p>
        </w:tc>
        <w:tc>
          <w:tcPr>
            <w:tcW w:w="140" w:type="dxa"/>
            <w:vAlign w:val="bottom"/>
            <w:tcBorders>
              <w:bottom w:val="single" w:sz="8" w:color="CCEEFF"/>
            </w:tcBorders>
          </w:tcPr>
          <w:p>
            <w:pPr>
              <w:spacing w:after="0"/>
              <w:rPr>
                <w:sz w:val="17"/>
                <w:szCs w:val="17"/>
                <w:color w:val="auto"/>
              </w:rPr>
            </w:pPr>
          </w:p>
        </w:tc>
      </w:tr>
      <w:tr>
        <w:trPr>
          <w:trHeight w:val="202"/>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beginning of year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22,940</w:t>
            </w:r>
          </w:p>
        </w:tc>
        <w:tc>
          <w:tcPr>
            <w:tcW w:w="140" w:type="dxa"/>
            <w:vAlign w:val="bottom"/>
            <w:shd w:val="clear" w:color="auto" w:fill="CCEEFF"/>
          </w:tcPr>
          <w:p>
            <w:pPr>
              <w:spacing w:after="0"/>
              <w:rPr>
                <w:sz w:val="17"/>
                <w:szCs w:val="17"/>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current year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756</w:t>
            </w: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(Reductions) additions based on tax positions related to prior year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(9,940)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4,984</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Reductions due to expiry of the statute of limitations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(1,348)</w:t>
            </w:r>
          </w:p>
        </w:tc>
      </w:tr>
      <w:tr>
        <w:trPr>
          <w:trHeight w:val="26"/>
        </w:trPr>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end of year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33,449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27,332</w:t>
            </w:r>
          </w:p>
        </w:tc>
      </w:tr>
      <w:tr>
        <w:trPr>
          <w:trHeight w:val="20"/>
        </w:trPr>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720"/>
        <w:spacing w:after="0" w:line="295" w:lineRule="auto"/>
        <w:rPr>
          <w:sz w:val="20"/>
          <w:szCs w:val="20"/>
          <w:color w:val="auto"/>
        </w:rPr>
      </w:pPr>
      <w:r>
        <w:rPr>
          <w:rFonts w:ascii="Times New Roman" w:cs="Times New Roman" w:eastAsia="Times New Roman" w:hAnsi="Times New Roman"/>
          <w:sz w:val="17"/>
          <w:szCs w:val="17"/>
          <w:color w:val="auto"/>
        </w:rPr>
        <w:t>The total amount of unrecognized tax benefits that, if recognized, would affect the effective tax rate were $21,865 and $33,449 as of December 31, 2025 and 2024, respectively.</w:t>
      </w:r>
    </w:p>
    <w:p>
      <w:pPr>
        <w:spacing w:after="0" w:line="42" w:lineRule="exact"/>
        <w:rPr>
          <w:sz w:val="20"/>
          <w:szCs w:val="20"/>
          <w:color w:val="auto"/>
        </w:rPr>
      </w:pPr>
    </w:p>
    <w:p>
      <w:pPr>
        <w:ind w:left="720" w:right="600"/>
        <w:spacing w:after="0" w:line="295" w:lineRule="auto"/>
        <w:rPr>
          <w:sz w:val="20"/>
          <w:szCs w:val="20"/>
          <w:color w:val="auto"/>
        </w:rPr>
      </w:pPr>
      <w:r>
        <w:rPr>
          <w:rFonts w:ascii="Times New Roman" w:cs="Times New Roman" w:eastAsia="Times New Roman" w:hAnsi="Times New Roman"/>
          <w:sz w:val="17"/>
          <w:szCs w:val="17"/>
          <w:color w:val="auto"/>
        </w:rPr>
        <w:t>As of December 31, 2025 and 2024, there were no interest and penalties related to uncertain tax positions recognized in the accompanying consolidated financial statements.</w:t>
      </w:r>
    </w:p>
    <w:p>
      <w:pPr>
        <w:spacing w:after="0" w:line="42" w:lineRule="exact"/>
        <w:rPr>
          <w:sz w:val="20"/>
          <w:szCs w:val="20"/>
          <w:color w:val="auto"/>
        </w:rPr>
      </w:pPr>
    </w:p>
    <w:p>
      <w:pPr>
        <w:ind w:left="720" w:right="200"/>
        <w:spacing w:after="0" w:line="269" w:lineRule="auto"/>
        <w:rPr>
          <w:sz w:val="20"/>
          <w:szCs w:val="20"/>
          <w:color w:val="auto"/>
        </w:rPr>
      </w:pPr>
      <w:r>
        <w:rPr>
          <w:rFonts w:ascii="Times New Roman" w:cs="Times New Roman" w:eastAsia="Times New Roman" w:hAnsi="Times New Roman"/>
          <w:sz w:val="17"/>
          <w:szCs w:val="17"/>
          <w:color w:val="auto"/>
        </w:rPr>
        <w:t>Melco Resorts and its subsidiaries’ major tax jurisdictions are Macau, Hong Kong, the Philippines, Cyprus and Sri Lanka. Income tax returns of Melco Resorts and its subsidiaries remain open and subject to examination by the local tax authorities of Macau, Hong Kong, the Philippines, Cyprus and Sri Lanka until the statute of limitations expire in each corresponding jurisdiction. The statute of limitations in Macau, Hong Kong, the Philippines, Cyprus and Sri Lanka are five years, six years, three years, six years and two and a half years, respectively.</w:t>
      </w:r>
    </w:p>
    <w:p>
      <w:pPr>
        <w:spacing w:after="0" w:line="311" w:lineRule="exact"/>
        <w:rPr>
          <w:sz w:val="20"/>
          <w:szCs w:val="20"/>
          <w:color w:val="auto"/>
        </w:rPr>
      </w:pPr>
    </w:p>
    <w:p>
      <w:pPr>
        <w:ind w:left="720" w:right="7540" w:hanging="428"/>
        <w:spacing w:after="0" w:line="386" w:lineRule="auto"/>
        <w:tabs>
          <w:tab w:leader="none" w:pos="712" w:val="left"/>
        </w:tabs>
        <w:numPr>
          <w:ilvl w:val="0"/>
          <w:numId w:val="2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2011 Share Incentive Plan</w:t>
      </w:r>
    </w:p>
    <w:p>
      <w:pPr>
        <w:ind w:left="720" w:right="3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Resorts adopted a share incentive plan in 2011 (the “2011 Share Incentive Plan”), effective on December 7, 2011, which had been subsequently amended and restated, for grants of various share-based awards, including but not limited to, options to purchase Melco Resorts’ ordinary shares, restricted shares, share appreciation rights and other types of awards to eligible directors, employees and consultants of the Company and its affiliates. The maximum term of an award was 10 years from the date of the grant. The</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F-59</w:t>
      </w:r>
    </w:p>
    <w:p>
      <w:pPr>
        <w:sectPr>
          <w:pgSz w:w="11900" w:h="16838" w:orient="portrait"/>
          <w:cols w:equalWidth="0" w:num="1">
            <w:col w:w="10960"/>
          </w:cols>
          <w:pgMar w:left="320" w:top="472" w:right="6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94" w:lineRule="auto"/>
        <w:tabs>
          <w:tab w:leader="none" w:pos="712" w:val="left"/>
        </w:tabs>
        <w:numPr>
          <w:ilvl w:val="0"/>
          <w:numId w:val="2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2011 Share Incentive Plan</w:t>
      </w:r>
      <w:r>
        <w:rPr>
          <w:rFonts w:ascii="Times New Roman" w:cs="Times New Roman" w:eastAsia="Times New Roman" w:hAnsi="Times New Roman"/>
          <w:sz w:val="17"/>
          <w:szCs w:val="17"/>
          <w:color w:val="auto"/>
        </w:rPr>
        <w:t xml:space="preserve"> - continued</w:t>
      </w:r>
    </w:p>
    <w:p>
      <w:pPr>
        <w:ind w:left="720" w:right="6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maximum aggregate number of ordinary shares to be available for all awards under the 2011 Share Incentive Plan was 100,000,000 over 10 years, which could be raised up to 10% of the issued share capital upon shareholders’ approval. The 2011 Share Incentive Plan would have expired ten years after December 7, 2011.</w:t>
      </w:r>
    </w:p>
    <w:p>
      <w:pPr>
        <w:spacing w:after="0" w:line="57" w:lineRule="exact"/>
        <w:rPr>
          <w:rFonts w:ascii="Times New Roman" w:cs="Times New Roman" w:eastAsia="Times New Roman" w:hAnsi="Times New Roman"/>
          <w:sz w:val="17"/>
          <w:szCs w:val="17"/>
          <w:b w:val="1"/>
          <w:bCs w:val="1"/>
          <w:color w:val="auto"/>
        </w:rPr>
      </w:pPr>
    </w:p>
    <w:p>
      <w:pPr>
        <w:ind w:left="720" w:right="2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Resorts adopted the 2021 Share Incentive Plan as described below, effective on December 6, 2021 (also the termination date of the 2011 Share Incentive Plan). Upon the termination of the 2011 Share Incentive Plan, no further awards may be granted under the 2011 Share Incentive Plan but the provisions of such plan shall remain in full force and effect in all other respects for any awards granted prior to the date of the termination of such plan.</w:t>
      </w:r>
    </w:p>
    <w:p>
      <w:pPr>
        <w:spacing w:after="0" w:line="62"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share options activity under the 2011 Share Incentive Plan for the year ended December 31, 2025,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Weighted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Number of</w:t>
            </w:r>
          </w:p>
        </w:tc>
        <w:tc>
          <w:tcPr>
            <w:tcW w:w="280" w:type="dxa"/>
            <w:vAlign w:val="bottom"/>
          </w:tcPr>
          <w:p>
            <w:pPr>
              <w:spacing w:after="0"/>
              <w:rPr>
                <w:sz w:val="18"/>
                <w:szCs w:val="18"/>
                <w:color w:val="auto"/>
              </w:rPr>
            </w:pPr>
          </w:p>
        </w:tc>
        <w:tc>
          <w:tcPr>
            <w:tcW w:w="132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color w:val="auto"/>
              </w:rPr>
              <w:t>Average</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Remaining</w:t>
            </w:r>
          </w:p>
        </w:tc>
        <w:tc>
          <w:tcPr>
            <w:tcW w:w="340" w:type="dxa"/>
            <w:vAlign w:val="bottom"/>
          </w:tcPr>
          <w:p>
            <w:pPr>
              <w:spacing w:after="0"/>
              <w:rPr>
                <w:sz w:val="18"/>
                <w:szCs w:val="18"/>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Share</w:t>
            </w:r>
          </w:p>
        </w:tc>
        <w:tc>
          <w:tcPr>
            <w:tcW w:w="280" w:type="dxa"/>
            <w:vAlign w:val="bottom"/>
          </w:tcPr>
          <w:p>
            <w:pPr>
              <w:spacing w:after="0"/>
              <w:rPr>
                <w:sz w:val="18"/>
                <w:szCs w:val="18"/>
                <w:color w:val="auto"/>
              </w:rPr>
            </w:pPr>
          </w:p>
        </w:tc>
        <w:tc>
          <w:tcPr>
            <w:tcW w:w="132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Exercise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Contractual</w:t>
            </w:r>
          </w:p>
        </w:tc>
        <w:tc>
          <w:tcPr>
            <w:tcW w:w="340" w:type="dxa"/>
            <w:vAlign w:val="bottom"/>
          </w:tcPr>
          <w:p>
            <w:pPr>
              <w:spacing w:after="0"/>
              <w:rPr>
                <w:sz w:val="18"/>
                <w:szCs w:val="18"/>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7"/>
        </w:trPr>
        <w:tc>
          <w:tcPr>
            <w:tcW w:w="516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Options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760"/>
              <w:spacing w:after="0"/>
              <w:rPr>
                <w:sz w:val="20"/>
                <w:szCs w:val="20"/>
                <w:color w:val="auto"/>
              </w:rPr>
            </w:pPr>
            <w:r>
              <w:rPr>
                <w:rFonts w:ascii="Times New Roman" w:cs="Times New Roman" w:eastAsia="Times New Roman" w:hAnsi="Times New Roman"/>
                <w:sz w:val="17"/>
                <w:szCs w:val="17"/>
                <w:color w:val="auto"/>
              </w:rPr>
              <w:t>Price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Term (years)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Outstanding as of January 1, 2025</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2,295,633</w:t>
            </w:r>
          </w:p>
        </w:tc>
        <w:tc>
          <w:tcPr>
            <w:tcW w:w="3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5.72</w:t>
            </w:r>
          </w:p>
        </w:tc>
        <w:tc>
          <w:tcPr>
            <w:tcW w:w="6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Expired</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(198,411)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5.79</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2,097,222</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Fully vested and exercisable as of December 31, 2025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2,097,222</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5.71</w:t>
            </w:r>
          </w:p>
        </w:tc>
        <w:tc>
          <w:tcPr>
            <w:tcW w:w="640" w:type="dxa"/>
            <w:vAlign w:val="bottom"/>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3.63</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ind w:left="360"/>
              <w:spacing w:after="0" w:line="189" w:lineRule="exact"/>
              <w:rPr>
                <w:sz w:val="20"/>
                <w:szCs w:val="20"/>
                <w:color w:val="auto"/>
              </w:rPr>
            </w:pPr>
            <w:r>
              <w:rPr>
                <w:rFonts w:ascii="Times New Roman" w:cs="Times New Roman" w:eastAsia="Times New Roman" w:hAnsi="Times New Roman"/>
                <w:sz w:val="17"/>
                <w:szCs w:val="17"/>
                <w:color w:val="auto"/>
                <w:w w:val="86"/>
              </w:rPr>
              <w:t>— 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information is provided for share options under the 2011 Share Incentive Plan:</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exercise of share options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8"/>
              </w:rPr>
              <w:t>  — </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— </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Intrinsic value of share options exercised</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760"/>
        <w:spacing w:after="0" w:line="385" w:lineRule="auto"/>
        <w:rPr>
          <w:sz w:val="20"/>
          <w:szCs w:val="20"/>
          <w:color w:val="auto"/>
        </w:rPr>
      </w:pPr>
      <w:r>
        <w:rPr>
          <w:rFonts w:ascii="Times New Roman" w:cs="Times New Roman" w:eastAsia="Times New Roman" w:hAnsi="Times New Roman"/>
          <w:sz w:val="17"/>
          <w:szCs w:val="17"/>
          <w:color w:val="auto"/>
        </w:rPr>
        <w:t xml:space="preserve">As of December 31, 2025, there were no unrecognized compensation costs related to share options under the 2011 Share Incentive Plan. </w:t>
      </w:r>
      <w:r>
        <w:rPr>
          <w:rFonts w:ascii="Times New Roman" w:cs="Times New Roman" w:eastAsia="Times New Roman" w:hAnsi="Times New Roman"/>
          <w:sz w:val="17"/>
          <w:szCs w:val="17"/>
          <w:i w:val="1"/>
          <w:iCs w:val="1"/>
          <w:color w:val="auto"/>
        </w:rPr>
        <w:t>Restricted Shares</w:t>
      </w:r>
    </w:p>
    <w:p>
      <w:pPr>
        <w:ind w:left="720" w:right="340"/>
        <w:spacing w:after="0" w:line="295" w:lineRule="auto"/>
        <w:rPr>
          <w:sz w:val="20"/>
          <w:szCs w:val="20"/>
          <w:color w:val="auto"/>
        </w:rPr>
      </w:pPr>
      <w:r>
        <w:rPr>
          <w:rFonts w:ascii="Times New Roman" w:cs="Times New Roman" w:eastAsia="Times New Roman" w:hAnsi="Times New Roman"/>
          <w:sz w:val="17"/>
          <w:szCs w:val="17"/>
          <w:color w:val="auto"/>
        </w:rPr>
        <w:t>As of December 31, 2025 and 2024, there were no unvested restricted shares and unrecognized compensation costs related to restricted shares under the 2011 Share Incentive Plan.</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information is provided for restricted shares under the 2011 Share Incentive Plan:</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4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7"/>
                <w:szCs w:val="17"/>
                <w:color w:val="auto"/>
              </w:rPr>
            </w:pPr>
          </w:p>
        </w:tc>
        <w:tc>
          <w:tcPr>
            <w:tcW w:w="130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7"/>
                <w:szCs w:val="17"/>
                <w:color w:val="auto"/>
              </w:rPr>
            </w:pPr>
          </w:p>
        </w:tc>
      </w:tr>
      <w:tr>
        <w:trPr>
          <w:trHeight w:val="202"/>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date fair value of restricted shares vested</w:t>
            </w:r>
          </w:p>
        </w:tc>
        <w:tc>
          <w:tcPr>
            <w:tcW w:w="2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xml:space="preserve">$          </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12,359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28,638</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020" w:type="dxa"/>
            <w:vAlign w:val="bottom"/>
          </w:tcPr>
          <w:p>
            <w:pPr>
              <w:spacing w:after="0"/>
              <w:rPr>
                <w:sz w:val="24"/>
                <w:szCs w:val="24"/>
                <w:color w:val="auto"/>
              </w:rPr>
            </w:pPr>
          </w:p>
        </w:tc>
        <w:tc>
          <w:tcPr>
            <w:tcW w:w="3220" w:type="dxa"/>
            <w:vAlign w:val="bottom"/>
            <w:gridSpan w:val="2"/>
          </w:tcPr>
          <w:p>
            <w:pPr>
              <w:jc w:val="right"/>
              <w:ind w:right="2093"/>
              <w:spacing w:after="0"/>
              <w:rPr>
                <w:sz w:val="20"/>
                <w:szCs w:val="20"/>
                <w:color w:val="auto"/>
              </w:rPr>
            </w:pPr>
            <w:r>
              <w:rPr>
                <w:rFonts w:ascii="Times New Roman" w:cs="Times New Roman" w:eastAsia="Times New Roman" w:hAnsi="Times New Roman"/>
                <w:sz w:val="17"/>
                <w:szCs w:val="17"/>
                <w:color w:val="auto"/>
              </w:rPr>
              <w:t>F-60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2021 Share Incentive Plan</w:t>
      </w:r>
    </w:p>
    <w:p>
      <w:pPr>
        <w:spacing w:after="0" w:line="120" w:lineRule="exact"/>
        <w:rPr>
          <w:rFonts w:ascii="Times New Roman" w:cs="Times New Roman" w:eastAsia="Times New Roman" w:hAnsi="Times New Roman"/>
          <w:sz w:val="17"/>
          <w:szCs w:val="17"/>
          <w:b w:val="1"/>
          <w:bCs w:val="1"/>
          <w:color w:val="auto"/>
        </w:rPr>
      </w:pPr>
    </w:p>
    <w:p>
      <w:pPr>
        <w:ind w:left="720" w:right="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Resorts adopted the 2021 Share Incentive Plan, effective on December 6, 2021, which was subsequently amended on June 13, 2024 to bring the plan in line with applicable listing rules in Hong Kong that impact Melco International, for grants of various share-based awards, including but not limited to, options to purchase Melco Resorts’ ordinary shares, restricted shares, share appreciation rights and other types of awards to eligible directors, employees and consultants of the Company and its affiliates. The maximum term of an award is 10 years from the date of the grant. The maximum aggregate number of ordinary shares to be available for all awards under the 2021 Share Incentive Plan may be increased from time to time, provided that the maximum aggregate number of Melco Resorts’ ordinary shares which may be issued under the 2021 Share Incentive Plan shall not be more than 10% of the total number of the issued share capital of Melco Resorts on the date the plan limit is approved by the shareholders of Melco International in accordance with the applicable listing rules in Hong Kong. As of December 31, 2025, there were 72,129,000 ordinary shares available for grants of various share-based awards under the 2021 Share Incentive Plan.</w:t>
      </w:r>
    </w:p>
    <w:p>
      <w:pPr>
        <w:spacing w:after="0" w:line="7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p>
    <w:p>
      <w:pPr>
        <w:spacing w:after="0" w:line="120" w:lineRule="exact"/>
        <w:rPr>
          <w:rFonts w:ascii="Times New Roman" w:cs="Times New Roman" w:eastAsia="Times New Roman" w:hAnsi="Times New Roman"/>
          <w:sz w:val="17"/>
          <w:szCs w:val="17"/>
          <w:b w:val="1"/>
          <w:bCs w:val="1"/>
          <w:color w:val="auto"/>
        </w:rPr>
      </w:pPr>
    </w:p>
    <w:p>
      <w:pPr>
        <w:ind w:left="720" w:right="28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2025, 2024 and 2023, the exercise prices for share options granted under the 2021 Share Incentive Plan were determined at the market closing prices of Melco Resorts’ ADSs trading on the Nasdaq Global Select Market on the dates of grant. These share options became exercisable over vesting periods of one to three years. The share options granted expire 10 years from the date of grant.</w:t>
      </w:r>
    </w:p>
    <w:p>
      <w:pPr>
        <w:spacing w:after="0" w:line="57" w:lineRule="exact"/>
        <w:rPr>
          <w:rFonts w:ascii="Times New Roman" w:cs="Times New Roman" w:eastAsia="Times New Roman" w:hAnsi="Times New Roman"/>
          <w:sz w:val="17"/>
          <w:szCs w:val="17"/>
          <w:b w:val="1"/>
          <w:bCs w:val="1"/>
          <w:color w:val="auto"/>
        </w:rPr>
      </w:pPr>
    </w:p>
    <w:p>
      <w:pPr>
        <w:ind w:left="720" w:right="1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uses the Black-Scholes valuation model to determine the estimated fair value for each share option granted, with certain assumptions, changes in which could materially affect the estimated fair value. Dividend yield is based on the estimate of annual dividends expected to be paid at the time of grant. Expected volatility is based on the historical volatility of Melco Resorts’ ADSs trading on the Nasdaq Global Select Market. Expected term is based upon the vesting term or the historical expected term of publicly traded companies. The risk-free interest rate used for each period presented is based on the United States of America Treasury yield curve at the time of grant for the period equal to the expected term.</w:t>
      </w:r>
    </w:p>
    <w:p>
      <w:pPr>
        <w:spacing w:after="0" w:line="279" w:lineRule="exact"/>
        <w:rPr>
          <w:rFonts w:ascii="Times New Roman" w:cs="Times New Roman" w:eastAsia="Times New Roman" w:hAnsi="Times New Roman"/>
          <w:sz w:val="17"/>
          <w:szCs w:val="17"/>
          <w:b w:val="1"/>
          <w:bCs w:val="1"/>
          <w:color w:val="auto"/>
        </w:rPr>
      </w:pPr>
    </w:p>
    <w:p>
      <w:pPr>
        <w:ind w:left="720" w:right="26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values of share options granted under the 2021 Share Incentive Plan were estimated on the dates of grant using the following weighted average assumptions:</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10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7"/>
                <w:szCs w:val="17"/>
                <w:color w:val="auto"/>
              </w:rPr>
              <w:t>Year Ended December 31,</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344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7"/>
                <w:szCs w:val="17"/>
                <w:color w:val="auto"/>
              </w:rPr>
            </w:pPr>
          </w:p>
        </w:tc>
      </w:tr>
      <w:tr>
        <w:trPr>
          <w:trHeight w:val="20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shd w:val="clear" w:color="auto" w:fill="CCEEFF"/>
          </w:tcPr>
          <w:p>
            <w:pPr>
              <w:spacing w:after="0"/>
              <w:rPr>
                <w:sz w:val="17"/>
                <w:szCs w:val="17"/>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3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59.67%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60.00%</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58.67%</w:t>
            </w: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3.97%</w:t>
            </w:r>
          </w:p>
        </w:tc>
        <w:tc>
          <w:tcPr>
            <w:tcW w:w="1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4.36%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3.39%</w:t>
            </w: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w:t>
            </w:r>
          </w:p>
        </w:tc>
      </w:tr>
      <w:tr>
        <w:trPr>
          <w:trHeight w:val="334"/>
        </w:trPr>
        <w:tc>
          <w:tcPr>
            <w:tcW w:w="3440" w:type="dxa"/>
            <w:vAlign w:val="bottom"/>
          </w:tcPr>
          <w:p>
            <w:pPr>
              <w:spacing w:after="0"/>
              <w:rPr>
                <w:sz w:val="24"/>
                <w:szCs w:val="24"/>
                <w:color w:val="auto"/>
              </w:rPr>
            </w:pPr>
          </w:p>
        </w:tc>
        <w:tc>
          <w:tcPr>
            <w:tcW w:w="3880" w:type="dxa"/>
            <w:vAlign w:val="bottom"/>
            <w:gridSpan w:val="3"/>
          </w:tcPr>
          <w:p>
            <w:pPr>
              <w:ind w:left="1300"/>
              <w:spacing w:after="0"/>
              <w:rPr>
                <w:sz w:val="20"/>
                <w:szCs w:val="20"/>
                <w:color w:val="auto"/>
              </w:rPr>
            </w:pPr>
            <w:r>
              <w:rPr>
                <w:rFonts w:ascii="Times New Roman" w:cs="Times New Roman" w:eastAsia="Times New Roman" w:hAnsi="Times New Roman"/>
                <w:sz w:val="17"/>
                <w:szCs w:val="17"/>
                <w:color w:val="auto"/>
              </w:rPr>
              <w:t>F-61</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85" w:lineRule="auto"/>
        <w:tabs>
          <w:tab w:leader="none" w:pos="712" w:val="left"/>
        </w:tabs>
        <w:numPr>
          <w:ilvl w:val="0"/>
          <w:numId w:val="2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2021 Share Incentive Plan</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 Options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share options activity under the 2021 Share Incentive Plan for the year ended December 31, 2025,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9"/>
              </w:rPr>
              <w:t>Weighted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rPr>
              <w:t>Average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Remaining</w:t>
            </w:r>
          </w:p>
        </w:tc>
        <w:tc>
          <w:tcPr>
            <w:tcW w:w="220" w:type="dxa"/>
            <w:vAlign w:val="bottom"/>
          </w:tcPr>
          <w:p>
            <w:pPr>
              <w:spacing w:after="0"/>
              <w:rPr>
                <w:sz w:val="18"/>
                <w:szCs w:val="18"/>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Share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rPr>
              <w:t>Exercise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Contractual</w:t>
            </w:r>
          </w:p>
        </w:tc>
        <w:tc>
          <w:tcPr>
            <w:tcW w:w="220" w:type="dxa"/>
            <w:vAlign w:val="bottom"/>
          </w:tcPr>
          <w:p>
            <w:pPr>
              <w:spacing w:after="0"/>
              <w:rPr>
                <w:sz w:val="18"/>
                <w:szCs w:val="18"/>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Options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7"/>
              </w:rPr>
              <w:t>Price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Term (years)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02"/>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2025</w:t>
            </w:r>
          </w:p>
        </w:tc>
        <w:tc>
          <w:tcPr>
            <w:tcW w:w="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7,190,658</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2.52</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1,566,207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1.78</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(276,588)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2.47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7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(1,714,788)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2.47</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6,765,489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2.36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Fully vested and expected to vest as of December 31, 2025</w:t>
            </w: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6,765,489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w w:val="93"/>
              </w:rPr>
              <w:t>2.36</w:t>
            </w:r>
          </w:p>
        </w:tc>
        <w:tc>
          <w:tcPr>
            <w:tcW w:w="4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as of December 31, 2025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3,712,434</w:t>
            </w: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2.52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information is provided for share options under the 2021 Share Incentive Plan:</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4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7"/>
          </w:tcPr>
          <w:p>
            <w:pPr>
              <w:jc w:val="center"/>
              <w:ind w:left="33"/>
              <w:spacing w:after="0"/>
              <w:rPr>
                <w:sz w:val="20"/>
                <w:szCs w:val="20"/>
                <w:color w:val="auto"/>
              </w:rPr>
            </w:pPr>
            <w:r>
              <w:rPr>
                <w:rFonts w:ascii="Times New Roman" w:cs="Times New Roman" w:eastAsia="Times New Roman" w:hAnsi="Times New Roman"/>
                <w:sz w:val="17"/>
                <w:szCs w:val="17"/>
                <w:color w:val="auto"/>
              </w:rPr>
              <w:t>Year Ended December 31,</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w:t>
            </w:r>
          </w:p>
        </w:tc>
        <w:tc>
          <w:tcPr>
            <w:tcW w:w="18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 xml:space="preserve">      </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4"/>
              </w:rPr>
              <w:t>        1.16</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Proceeds from the exercise of share options</w:t>
            </w: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w w:val="93"/>
              </w:rPr>
              <w:t>— </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Intrinsic value of share options exercised</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200"/>
        <w:spacing w:after="0" w:line="295" w:lineRule="auto"/>
        <w:rPr>
          <w:sz w:val="20"/>
          <w:szCs w:val="20"/>
          <w:color w:val="auto"/>
        </w:rPr>
      </w:pPr>
      <w:r>
        <w:rPr>
          <w:rFonts w:ascii="Times New Roman" w:cs="Times New Roman" w:eastAsia="Times New Roman" w:hAnsi="Times New Roman"/>
          <w:sz w:val="17"/>
          <w:szCs w:val="17"/>
          <w:color w:val="auto"/>
        </w:rPr>
        <w:t>As of December 31, 2025, there were $1,851 unrecognized compensation costs related to share options under the 2021 Share Incentive Plan and the costs are expected to be recognized over a weighted average period of 1.75 years.</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120" w:lineRule="exact"/>
        <w:rPr>
          <w:sz w:val="20"/>
          <w:szCs w:val="20"/>
          <w:color w:val="auto"/>
        </w:rPr>
      </w:pPr>
    </w:p>
    <w:p>
      <w:pPr>
        <w:ind w:left="720" w:right="40"/>
        <w:spacing w:after="0" w:line="269" w:lineRule="auto"/>
        <w:rPr>
          <w:sz w:val="20"/>
          <w:szCs w:val="20"/>
          <w:color w:val="auto"/>
        </w:rPr>
      </w:pPr>
      <w:r>
        <w:rPr>
          <w:rFonts w:ascii="Times New Roman" w:cs="Times New Roman" w:eastAsia="Times New Roman" w:hAnsi="Times New Roman"/>
          <w:sz w:val="17"/>
          <w:szCs w:val="17"/>
          <w:color w:val="auto"/>
        </w:rPr>
        <w:t>Certain restricted shares were approved by Melco Resorts to be granted under the 2021 Share Incentive Plan to the eligible management personnel of the Company in lieu of the 2022 bonus for their services performed during 2022. A total of 4,350,111 restricted shares were granted and vested immediately on April 5, 2023 (the “2022 Bonus Shares”) with the grant date fair value of $12.38 per ADS or $4.13 per share, which was the closing price of Melco Resorts’ ADSs trading on the Nasdaq Global Select Market on the date of grant.</w:t>
      </w:r>
    </w:p>
    <w:p>
      <w:pPr>
        <w:spacing w:after="0" w:line="65"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7"/>
          <w:szCs w:val="17"/>
          <w:color w:val="auto"/>
        </w:rPr>
        <w:t>Other than the restricted shares granted under the 2022 Bonus Shares as described above, the fair values for restricted shares granted under the 2021 Share Incentive Plan during the years ended December 31, 2025, 2024 and 2023, with vesting periods of generally one to three years, were determined with reference to the market closing prices of Melco Resorts’ ADSs trading on the Nasdaq Global Select Market on the dates of grant.</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F-62</w:t>
      </w:r>
    </w:p>
    <w:p>
      <w:pPr>
        <w:sectPr>
          <w:pgSz w:w="11900" w:h="16838" w:orient="portrait"/>
          <w:cols w:equalWidth="0" w:num="1">
            <w:col w:w="10960"/>
          </w:cols>
          <w:pgMar w:left="320" w:top="472" w:right="6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6720" w:hanging="428"/>
        <w:spacing w:after="0" w:line="391" w:lineRule="auto"/>
        <w:tabs>
          <w:tab w:leader="none" w:pos="712" w:val="left"/>
        </w:tabs>
        <w:numPr>
          <w:ilvl w:val="0"/>
          <w:numId w:val="2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2021 Share Incentive Plan</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Restricted Shares</w:t>
      </w:r>
      <w:r>
        <w:rPr>
          <w:rFonts w:ascii="Times New Roman" w:cs="Times New Roman" w:eastAsia="Times New Roman" w:hAnsi="Times New Roman"/>
          <w:sz w:val="17"/>
          <w:szCs w:val="17"/>
          <w:color w:val="auto"/>
        </w:rPr>
        <w:t xml:space="preserve"> -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restricted shares activity under the 2021 Share Incentive Plan for the year ended December 31, 2025, is presented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w w:val="99"/>
              </w:rPr>
              <w:t>Weighted</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rPr>
              <w:t>Restricted</w:t>
            </w:r>
          </w:p>
        </w:tc>
        <w:tc>
          <w:tcPr>
            <w:tcW w:w="100" w:type="dxa"/>
            <w:vAlign w:val="bottom"/>
          </w:tcPr>
          <w:p>
            <w:pPr>
              <w:spacing w:after="0"/>
              <w:rPr>
                <w:sz w:val="18"/>
                <w:szCs w:val="18"/>
                <w:color w:val="auto"/>
              </w:rPr>
            </w:pPr>
          </w:p>
        </w:tc>
        <w:tc>
          <w:tcPr>
            <w:tcW w:w="106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center"/>
              <w:ind w:right="620"/>
              <w:spacing w:after="0"/>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02"/>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January 1, 2025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20,253,867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3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 xml:space="preserve">    </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19,717,509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(10,364,457)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(829,515)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28,777,404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information is provided for restricted shares under the 2021 Share Incentive Plan:</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ind w:left="640"/>
              <w:spacing w:after="0"/>
              <w:rPr>
                <w:sz w:val="20"/>
                <w:szCs w:val="20"/>
                <w:color w:val="auto"/>
              </w:rPr>
            </w:pPr>
            <w:r>
              <w:rPr>
                <w:rFonts w:ascii="Times New Roman" w:cs="Times New Roman" w:eastAsia="Times New Roman" w:hAnsi="Times New Roman"/>
                <w:sz w:val="17"/>
                <w:szCs w:val="17"/>
                <w:color w:val="auto"/>
              </w:rPr>
              <w:t>Year Ended December 31,</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7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2023</w:t>
            </w: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1.78</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3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 xml:space="preserve">   </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Grant date fair value of restricted shares vested</w:t>
            </w:r>
          </w:p>
        </w:tc>
        <w:tc>
          <w:tcPr>
            <w:tcW w:w="1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29,220</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36,732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200"/>
        <w:spacing w:after="0" w:line="295" w:lineRule="auto"/>
        <w:rPr>
          <w:sz w:val="20"/>
          <w:szCs w:val="20"/>
          <w:color w:val="auto"/>
        </w:rPr>
      </w:pPr>
      <w:r>
        <w:rPr>
          <w:rFonts w:ascii="Times New Roman" w:cs="Times New Roman" w:eastAsia="Times New Roman" w:hAnsi="Times New Roman"/>
          <w:sz w:val="17"/>
          <w:szCs w:val="17"/>
          <w:color w:val="auto"/>
        </w:rPr>
        <w:t>As of December 31, 2025, there were $39,126 unrecognized compensation costs related to restricted shares under the 2021 Share Incentive Plan and the costs are expected to be recognized over a weighted average period of 1.85 years.</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share-based compensation expenses for the Company were recognized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9"/>
          </w:tcPr>
          <w:p>
            <w:pPr>
              <w:jc w:val="center"/>
              <w:ind w:right="20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68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Share-based compensation expenses: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2011 Share Incentive Plan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9"/>
              </w:rPr>
              <w:t>       — 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1,883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4"/>
              </w:rPr>
              <w:t>  10,343</w:t>
            </w:r>
          </w:p>
        </w:tc>
        <w:tc>
          <w:tcPr>
            <w:tcW w:w="0" w:type="dxa"/>
            <w:vAlign w:val="bottom"/>
          </w:tcPr>
          <w:p>
            <w:pPr>
              <w:spacing w:after="0"/>
              <w:rPr>
                <w:sz w:val="1"/>
                <w:szCs w:val="1"/>
                <w:color w:val="auto"/>
              </w:rPr>
            </w:pPr>
          </w:p>
        </w:tc>
      </w:tr>
      <w:tr>
        <w:trPr>
          <w:trHeight w:val="53"/>
        </w:trPr>
        <w:tc>
          <w:tcPr>
            <w:tcW w:w="6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2021 Share Incentive Plan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0"/>
              </w:rPr>
              <w:t>  26,620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26,092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Total share-based compensation expenses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28,503</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36,435</w:t>
            </w:r>
          </w:p>
        </w:tc>
        <w:tc>
          <w:tcPr>
            <w:tcW w:w="0" w:type="dxa"/>
            <w:vAlign w:val="bottom"/>
          </w:tcPr>
          <w:p>
            <w:pPr>
              <w:spacing w:after="0"/>
              <w:rPr>
                <w:sz w:val="1"/>
                <w:szCs w:val="1"/>
                <w:color w:val="auto"/>
              </w:rPr>
            </w:pPr>
          </w:p>
        </w:tc>
      </w:tr>
      <w:tr>
        <w:trPr>
          <w:trHeight w:val="53"/>
        </w:trPr>
        <w:tc>
          <w:tcPr>
            <w:tcW w:w="6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Share-based compensation expenses capitalized in property and equipment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expenses recognized in general and administrative expenses</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29,270</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27,368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35,473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740"/>
              <w:spacing w:after="0"/>
              <w:rPr>
                <w:sz w:val="20"/>
                <w:szCs w:val="20"/>
                <w:color w:val="auto"/>
              </w:rPr>
            </w:pPr>
            <w:r>
              <w:rPr>
                <w:rFonts w:ascii="Times New Roman" w:cs="Times New Roman" w:eastAsia="Times New Roman" w:hAnsi="Times New Roman"/>
                <w:sz w:val="17"/>
                <w:szCs w:val="17"/>
                <w:color w:val="auto"/>
              </w:rPr>
              <w:t>F-63</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w:t>
      </w:r>
    </w:p>
    <w:p>
      <w:pPr>
        <w:spacing w:after="0" w:line="120" w:lineRule="exact"/>
        <w:rPr>
          <w:rFonts w:ascii="Times New Roman" w:cs="Times New Roman" w:eastAsia="Times New Roman" w:hAnsi="Times New Roman"/>
          <w:sz w:val="17"/>
          <w:szCs w:val="17"/>
          <w:b w:val="1"/>
          <w:bCs w:val="1"/>
          <w:color w:val="auto"/>
        </w:rPr>
      </w:pPr>
    </w:p>
    <w:p>
      <w:pPr>
        <w:ind w:left="720" w:right="1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operates defined contribution fund schemes in different jurisdictions, which allow eligible employees to participate in defined contribution plans (the “Defined Contribution Fund Schemes”).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ranging from upon contribution to 10 years from the date of employment. The Defined Contribution Fund Schemes were established under trusts with the fund assets being held separately from those of the Company by independent trustees.</w:t>
      </w:r>
    </w:p>
    <w:p>
      <w:pPr>
        <w:spacing w:after="0" w:line="68" w:lineRule="exact"/>
        <w:rPr>
          <w:rFonts w:ascii="Times New Roman" w:cs="Times New Roman" w:eastAsia="Times New Roman" w:hAnsi="Times New Roman"/>
          <w:sz w:val="17"/>
          <w:szCs w:val="17"/>
          <w:b w:val="1"/>
          <w:bCs w:val="1"/>
          <w:color w:val="auto"/>
        </w:rPr>
      </w:pPr>
    </w:p>
    <w:p>
      <w:pPr>
        <w:ind w:left="720" w:right="2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Employees employed by the Company in different jurisdictions are members of government-managed social security fund schemes (the “Social Security Fund Schemes”), which are operated by the respective governments, if applicable. The Company is required to pay monthly fixed contributions or certain percentages of employee relevant income and meet the minimum mandatory requirements of the respective Social Security Fund Schemes to fund the benefits.</w:t>
      </w:r>
    </w:p>
    <w:p>
      <w:pPr>
        <w:spacing w:after="0" w:line="64" w:lineRule="exact"/>
        <w:rPr>
          <w:rFonts w:ascii="Times New Roman" w:cs="Times New Roman" w:eastAsia="Times New Roman" w:hAnsi="Times New Roman"/>
          <w:sz w:val="17"/>
          <w:szCs w:val="17"/>
          <w:b w:val="1"/>
          <w:bCs w:val="1"/>
          <w:color w:val="auto"/>
        </w:rPr>
      </w:pPr>
    </w:p>
    <w:p>
      <w:pPr>
        <w:ind w:left="720" w:right="5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2025, 2024 and 2023, the Company’s contributions into the defined contribution retirement benefits schemes were $41,925, $36,310 and $32,041, respectively.</w:t>
      </w:r>
    </w:p>
    <w:p>
      <w:pPr>
        <w:spacing w:after="0" w:line="288"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DISTRIBUTION OF PROFITS</w:t>
      </w:r>
    </w:p>
    <w:p>
      <w:pPr>
        <w:spacing w:after="0" w:line="120" w:lineRule="exact"/>
        <w:rPr>
          <w:rFonts w:ascii="Times New Roman" w:cs="Times New Roman" w:eastAsia="Times New Roman" w:hAnsi="Times New Roman"/>
          <w:sz w:val="17"/>
          <w:szCs w:val="17"/>
          <w:b w:val="1"/>
          <w:bCs w:val="1"/>
          <w:color w:val="auto"/>
        </w:rPr>
      </w:pPr>
    </w:p>
    <w:p>
      <w:pPr>
        <w:ind w:left="7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Subsidiaries of Melco Resorts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2025 and 2024, the aggregate balance of the legal reserves amounted to $60,317 and $36,793, respectively.</w:t>
      </w:r>
    </w:p>
    <w:p>
      <w:pPr>
        <w:spacing w:after="0" w:line="279" w:lineRule="exact"/>
        <w:rPr>
          <w:rFonts w:ascii="Times New Roman" w:cs="Times New Roman" w:eastAsia="Times New Roman" w:hAnsi="Times New Roman"/>
          <w:sz w:val="17"/>
          <w:szCs w:val="17"/>
          <w:b w:val="1"/>
          <w:bCs w:val="1"/>
          <w:color w:val="auto"/>
        </w:rPr>
      </w:pPr>
    </w:p>
    <w:p>
      <w:pPr>
        <w:jc w:val="both"/>
        <w:ind w:left="720" w:right="1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borrowings, subject to certain exceptions and conditions, contain certain restrictions on paying dividends and other distributions, as defined in the respective indentures governing the relevant senior notes and credit facility agreements, and disclosed in Note 10 under each of the respective borrowings.</w:t>
      </w:r>
    </w:p>
    <w:p>
      <w:pPr>
        <w:spacing w:after="0" w:line="303"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2025, 2024 and 2023, the Company did not declare any dividends on the ordinary shares.</w:t>
      </w:r>
    </w:p>
    <w:p>
      <w:pPr>
        <w:spacing w:after="0" w:line="364" w:lineRule="exact"/>
        <w:rPr>
          <w:rFonts w:ascii="Times New Roman" w:cs="Times New Roman" w:eastAsia="Times New Roman" w:hAnsi="Times New Roman"/>
          <w:sz w:val="17"/>
          <w:szCs w:val="17"/>
          <w:b w:val="1"/>
          <w:bCs w:val="1"/>
          <w:color w:val="auto"/>
        </w:rPr>
      </w:pPr>
    </w:p>
    <w:p>
      <w:pPr>
        <w:ind w:left="720" w:right="120" w:hanging="428"/>
        <w:spacing w:after="0" w:line="298" w:lineRule="auto"/>
        <w:tabs>
          <w:tab w:leader="none" w:pos="720"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REGULAR LICENSE, COOPERATION AGREEMENT, OPERATING AGREEMENT AND MRP LEASE AGREEMENT FOR CITY OF DREAMS MANILA</w:t>
      </w:r>
    </w:p>
    <w:p>
      <w:pPr>
        <w:spacing w:after="0" w:line="39" w:lineRule="exact"/>
        <w:rPr>
          <w:rFonts w:ascii="Times New Roman" w:cs="Times New Roman" w:eastAsia="Times New Roman" w:hAnsi="Times New Roman"/>
          <w:sz w:val="17"/>
          <w:szCs w:val="17"/>
          <w:b w:val="1"/>
          <w:bCs w:val="1"/>
          <w:color w:val="auto"/>
        </w:rPr>
      </w:pPr>
    </w:p>
    <w:p>
      <w:pPr>
        <w:ind w:left="720" w:right="8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agreements related to the development of City of Dreams Manila were entered into by the relevant parties of the Licensees (described below) and certain of its subsidiaries, which became effective on March 13, 2013 and end on the date of expiry of the Regular License as described below, currently expected to be on July 11, 2033, unless terminated earlier in accordance with the respective terms of the individual agreements.</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F-64</w:t>
      </w:r>
    </w:p>
    <w:p>
      <w:pPr>
        <w:sectPr>
          <w:pgSz w:w="11900" w:h="16838" w:orient="portrait"/>
          <w:cols w:equalWidth="0" w:num="1">
            <w:col w:w="10940"/>
          </w:cols>
          <w:pgMar w:left="320" w:top="472" w:right="6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right="100" w:hanging="428"/>
        <w:spacing w:after="0" w:line="298" w:lineRule="auto"/>
        <w:tabs>
          <w:tab w:leader="none" w:pos="720"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REGULAR LICENSE, COOPERATION AGREEMENT, OPERATING AGREEMENT AND MRP LEASE AGREEMENT FOR CITY OF DREAMS MANILA</w:t>
      </w:r>
      <w:r>
        <w:rPr>
          <w:rFonts w:ascii="Times New Roman" w:cs="Times New Roman" w:eastAsia="Times New Roman" w:hAnsi="Times New Roman"/>
          <w:sz w:val="17"/>
          <w:szCs w:val="17"/>
          <w:color w:val="auto"/>
        </w:rPr>
        <w:t xml:space="preserve"> - continued</w:t>
      </w:r>
    </w:p>
    <w:p>
      <w:pPr>
        <w:spacing w:after="0" w:line="50"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Regular License</w:t>
      </w:r>
    </w:p>
    <w:p>
      <w:pPr>
        <w:spacing w:after="0" w:line="120" w:lineRule="exact"/>
        <w:rPr>
          <w:rFonts w:ascii="Times New Roman" w:cs="Times New Roman" w:eastAsia="Times New Roman" w:hAnsi="Times New Roman"/>
          <w:sz w:val="17"/>
          <w:szCs w:val="17"/>
          <w:color w:val="auto"/>
        </w:rPr>
      </w:pPr>
    </w:p>
    <w:p>
      <w:pPr>
        <w:ind w:left="1260" w:right="8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29, 2015, PAGCOR issued a regular casino gaming license, as amended (the “Regular License”) in replacement of a provisional license granted as of March 13, 2013, to the co-licensees (the “Licensees”) namely, MPHIL Holdings No. 1 Corporation, a subsidiary of MRP, and its subsidiaries including MRL (collectively the “MPHIL Holdings Group”), SM Investments Corporation (“SMIC”), Belle Corporation (“Belle”) and PremiumLeisure and Amusement, Inc. (“PLAI”) (SMIC, Belle and PLAI are collectively referred to as the “Philippine Parties”) for the establishment and operation of City of Dreams Manila, with MRL, a co-licensee, as the “special purpose entity” to operate the casino business and as representative for itself and on behalf of the other co-licensees in dealings with PAGCOR. The Regular License has the same terms and conditions as the provisional license, and is valid until July 11, 2033. Further details of the terms and commitments under the Regular License are included in Note 20(b).</w:t>
      </w:r>
    </w:p>
    <w:p>
      <w:pPr>
        <w:spacing w:after="0" w:line="81"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Cooperation Agreement</w:t>
      </w:r>
    </w:p>
    <w:p>
      <w:pPr>
        <w:spacing w:after="0" w:line="120" w:lineRule="exact"/>
        <w:rPr>
          <w:rFonts w:ascii="Times New Roman" w:cs="Times New Roman" w:eastAsia="Times New Roman" w:hAnsi="Times New Roman"/>
          <w:sz w:val="17"/>
          <w:szCs w:val="17"/>
          <w:color w:val="auto"/>
        </w:rPr>
      </w:pPr>
    </w:p>
    <w:p>
      <w:pPr>
        <w:ind w:left="1260" w:right="1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Licensees and certain of its subsidiaries entered into a cooperation agreement (the “Cooperation Agreement”) and other related arrangements which govern the rights and obligations of the Licensees. Under the Cooperation Agreement, MRL is appointed as the sole and exclusive representative of the Licensees in connection with the Regular License and is designated as the operator to operate and manage City of Dreams Manila. Further details of the commitments under the Cooperation Agreement are included in Note 20(b).</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Operating Agreement</w:t>
      </w:r>
    </w:p>
    <w:p>
      <w:pPr>
        <w:spacing w:after="0" w:line="120" w:lineRule="exact"/>
        <w:rPr>
          <w:rFonts w:ascii="Times New Roman" w:cs="Times New Roman" w:eastAsia="Times New Roman" w:hAnsi="Times New Roman"/>
          <w:sz w:val="17"/>
          <w:szCs w:val="17"/>
          <w:color w:val="auto"/>
        </w:rPr>
      </w:pPr>
    </w:p>
    <w:p>
      <w:pPr>
        <w:ind w:left="1260"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Licensees entered into an operating agreement, as amended (the “Operating Agreement”) which governs the operation and management of City of Dreams Manila by MRL. Under the Operating Agreement, MRL is appointed as the sole and exclusive operator and manager of City of Dreams Manila, and is responsible for, and has sole discretion (subject to certain exceptions) and control over, all matters relating to the operation and management of City of Dreams Manila (including the gaming and non-gaming operations). The Operating Agreement also includes terms of certain monthly payments to PLAI from MRL, based on the performance of gaming operations of City of Dreams Manila and is included in payments to the Philippine Parties in the accompanying consolidated statements of operations, and further provides that MRL has the right to retain all revenues from non-gaming operations of City of Dreams Manila.</w:t>
      </w:r>
    </w:p>
    <w:p>
      <w:pPr>
        <w:spacing w:after="0" w:line="79"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MRP Lease Agreement</w:t>
      </w:r>
    </w:p>
    <w:p>
      <w:pPr>
        <w:spacing w:after="0" w:line="120"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MRL and Belle entered into a lease agreement, as amended from time to time (the “MRP Lease Agreement”) under which Belle agreed to lease to MRL the land and certain of the building structures for City of Dreams Manila. The leased property is used by MRL and any of its affiliates exclusively as a hotel, casino and resort complex.</w:t>
      </w:r>
    </w:p>
    <w:p>
      <w:pPr>
        <w:spacing w:after="0" w:line="57" w:lineRule="exact"/>
        <w:rPr>
          <w:rFonts w:ascii="Times New Roman" w:cs="Times New Roman" w:eastAsia="Times New Roman" w:hAnsi="Times New Roman"/>
          <w:sz w:val="17"/>
          <w:szCs w:val="17"/>
          <w:color w:val="auto"/>
        </w:rPr>
      </w:pPr>
    </w:p>
    <w:p>
      <w:pPr>
        <w:ind w:left="1260" w:right="1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19, 2022 and October 31, 2022, MRL and Belle entered into supplemental agreements to the MRP Lease Agreement to make certain adjustments to the rental payments paid or payable by MRL from 2022 to 2033.</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F-65</w:t>
      </w:r>
    </w:p>
    <w:p>
      <w:pPr>
        <w:sectPr>
          <w:pgSz w:w="11900" w:h="16838" w:orient="portrait"/>
          <w:cols w:equalWidth="0" w:num="1">
            <w:col w:w="10920"/>
          </w:cols>
          <w:pgMar w:left="320" w:top="472" w:right="6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 Commitments</w:t>
      </w:r>
    </w:p>
    <w:p>
      <w:pPr>
        <w:spacing w:after="0" w:line="120"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Company had capital commitments mainly for the construction and acquisitions of property and equipment for Studio City and City of Dreams totaling $88,378.</w:t>
      </w:r>
    </w:p>
    <w:p>
      <w:pPr>
        <w:spacing w:after="0" w:line="53" w:lineRule="exact"/>
        <w:rPr>
          <w:rFonts w:ascii="Times New Roman" w:cs="Times New Roman" w:eastAsia="Times New Roman" w:hAnsi="Times New Roman"/>
          <w:sz w:val="17"/>
          <w:szCs w:val="17"/>
          <w:color w:val="auto"/>
        </w:rPr>
      </w:pPr>
    </w:p>
    <w:p>
      <w:pPr>
        <w:jc w:val="both"/>
        <w:ind w:left="1260" w:right="8160" w:hanging="550"/>
        <w:spacing w:after="0" w:line="386" w:lineRule="auto"/>
        <w:tabs>
          <w:tab w:leader="none" w:pos="1241"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 Concession - Macau</w:t>
      </w:r>
    </w:p>
    <w:p>
      <w:pPr>
        <w:ind w:left="1260" w:right="1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Concession awarded by the Macau government to MRM on December 16, 2022, in addition to the fixed premium and variable premiums, as well as the Fee (see Note 6), MRM is obligated to pay the Macau government the following:</w:t>
      </w:r>
    </w:p>
    <w:p>
      <w:pPr>
        <w:spacing w:after="0" w:line="55" w:lineRule="exact"/>
        <w:rPr>
          <w:rFonts w:ascii="Times New Roman" w:cs="Times New Roman" w:eastAsia="Times New Roman" w:hAnsi="Times New Roman"/>
          <w:sz w:val="17"/>
          <w:szCs w:val="17"/>
          <w:color w:val="auto"/>
        </w:rPr>
      </w:pPr>
    </w:p>
    <w:p>
      <w:pPr>
        <w:ind w:left="1660" w:hanging="414"/>
        <w:spacing w:after="0"/>
        <w:tabs>
          <w:tab w:leader="none" w:pos="1660" w:val="left"/>
        </w:tabs>
        <w:numPr>
          <w:ilvl w:val="2"/>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gaming tax of an amount equal to 35% of gross gaming revenue on a monthly basis;</w:t>
      </w:r>
    </w:p>
    <w:p>
      <w:pPr>
        <w:spacing w:after="0" w:line="131" w:lineRule="exact"/>
        <w:rPr>
          <w:rFonts w:ascii="Times New Roman" w:cs="Times New Roman" w:eastAsia="Times New Roman" w:hAnsi="Times New Roman"/>
          <w:sz w:val="17"/>
          <w:szCs w:val="17"/>
          <w:color w:val="auto"/>
        </w:rPr>
      </w:pPr>
    </w:p>
    <w:p>
      <w:pPr>
        <w:ind w:left="1660" w:right="300" w:hanging="414"/>
        <w:spacing w:after="0" w:line="276" w:lineRule="auto"/>
        <w:tabs>
          <w:tab w:leader="none" w:pos="1660" w:val="left"/>
        </w:tabs>
        <w:numPr>
          <w:ilvl w:val="2"/>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Contributions of 2% and 3% of gross gaming revenue to a public fund, and to urban development, touristic promotion and social security, respectively, on a monthly basis. These contributions may be waived or reduced with respect to gross gaming revenue generated by foreign patrons under certain circumstances;</w:t>
      </w:r>
    </w:p>
    <w:p>
      <w:pPr>
        <w:spacing w:after="0" w:line="70" w:lineRule="exact"/>
        <w:rPr>
          <w:rFonts w:ascii="Times New Roman" w:cs="Times New Roman" w:eastAsia="Times New Roman" w:hAnsi="Times New Roman"/>
          <w:sz w:val="17"/>
          <w:szCs w:val="17"/>
          <w:color w:val="auto"/>
        </w:rPr>
      </w:pPr>
    </w:p>
    <w:p>
      <w:pPr>
        <w:ind w:left="1660" w:right="40" w:hanging="414"/>
        <w:spacing w:after="0" w:line="266" w:lineRule="auto"/>
        <w:tabs>
          <w:tab w:leader="none" w:pos="1660" w:val="left"/>
        </w:tabs>
        <w:numPr>
          <w:ilvl w:val="2"/>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premium in the event the average gross gaming revenue of MRM’s gaming tables does not reach the annual minimum of MOP7,000 (equivalent to $873) and the average gross gaming revenue of the electronic gaming machines does not reach the annual minimum of MOP300 (equivalent to $37). The amount of the special premium is equivalent to the difference between the amount of the special gaming tax paid by MRM and the amount that would be paid under the annual minimum set average gross gaming revenue for gaming tables and electronic gaming machines; and</w:t>
      </w:r>
    </w:p>
    <w:p>
      <w:pPr>
        <w:spacing w:after="0" w:line="79" w:lineRule="exact"/>
        <w:rPr>
          <w:rFonts w:ascii="Times New Roman" w:cs="Times New Roman" w:eastAsia="Times New Roman" w:hAnsi="Times New Roman"/>
          <w:sz w:val="17"/>
          <w:szCs w:val="17"/>
          <w:color w:val="auto"/>
        </w:rPr>
      </w:pPr>
    </w:p>
    <w:p>
      <w:pPr>
        <w:ind w:left="1660" w:right="520" w:hanging="414"/>
        <w:spacing w:after="0" w:line="276" w:lineRule="auto"/>
        <w:tabs>
          <w:tab w:leader="none" w:pos="1660" w:val="left"/>
        </w:tabs>
        <w:numPr>
          <w:ilvl w:val="2"/>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MRM must maintain a guarantee issued by a Macau bank in favor of the Macau government in the amount of MOP1,000,000 (equivalent to $124,772) until 180 days after the earlier of the expiration or termination of the Concession to guarantee its performance of certain of its legal and contractual obligations, including labor obligations.</w:t>
      </w:r>
    </w:p>
    <w:p>
      <w:pPr>
        <w:spacing w:after="0" w:line="57" w:lineRule="exact"/>
        <w:rPr>
          <w:sz w:val="20"/>
          <w:szCs w:val="20"/>
          <w:color w:val="auto"/>
        </w:rPr>
      </w:pPr>
    </w:p>
    <w:p>
      <w:pPr>
        <w:ind w:left="1260" w:right="480"/>
        <w:spacing w:after="0" w:line="295" w:lineRule="auto"/>
        <w:rPr>
          <w:sz w:val="20"/>
          <w:szCs w:val="20"/>
          <w:color w:val="auto"/>
        </w:rPr>
      </w:pPr>
      <w:r>
        <w:rPr>
          <w:rFonts w:ascii="Times New Roman" w:cs="Times New Roman" w:eastAsia="Times New Roman" w:hAnsi="Times New Roman"/>
          <w:sz w:val="17"/>
          <w:szCs w:val="17"/>
          <w:color w:val="auto"/>
        </w:rPr>
        <w:t>As a result of the bank guarantee issued by the bank to the Macau government as disclosed above, a sum of 0.03% per annum of the guarantee amount is payable by MRM to the bank.</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Committed Investment</w:t>
      </w:r>
    </w:p>
    <w:p>
      <w:pPr>
        <w:spacing w:after="0" w:line="120" w:lineRule="exact"/>
        <w:rPr>
          <w:sz w:val="20"/>
          <w:szCs w:val="20"/>
          <w:color w:val="auto"/>
        </w:rPr>
      </w:pPr>
    </w:p>
    <w:p>
      <w:pPr>
        <w:ind w:left="1260"/>
        <w:spacing w:after="0" w:line="259" w:lineRule="auto"/>
        <w:rPr>
          <w:sz w:val="20"/>
          <w:szCs w:val="20"/>
          <w:color w:val="auto"/>
        </w:rPr>
      </w:pPr>
      <w:r>
        <w:rPr>
          <w:rFonts w:ascii="Times New Roman" w:cs="Times New Roman" w:eastAsia="Times New Roman" w:hAnsi="Times New Roman"/>
          <w:sz w:val="17"/>
          <w:szCs w:val="17"/>
          <w:color w:val="auto"/>
        </w:rPr>
        <w:t>In connection with the Concession, MRM has undertaken to carry out investment in the overall amount of MOP11,823,700 (equivalent to $1,475,265) by December 2032.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Out of the total investment amount referred to above, MOP10,008,000 (equivalent to $1,248,717) is to be applied to non-gaming related projects, with the balance applied to gaming related projects. MRM has undertaken to carry out incremental additional non-gaming investment in the amount of approximately 20% of its initial non-gaming investment, or MOP2,003,000 (equivalent to $249,918), in the event the Macau’s annual gross gaming revenue reaches MOP180,000,000 (equivalent to $22,458,937) (the “Incremental Investment Trigger”). As Macau’s annual gross gaming revenue exceeded MOP180,000,000</w:t>
      </w:r>
    </w:p>
    <w:p>
      <w:pPr>
        <w:spacing w:after="0" w:line="3" w:lineRule="exact"/>
        <w:rPr>
          <w:sz w:val="20"/>
          <w:szCs w:val="20"/>
          <w:color w:val="auto"/>
        </w:rPr>
      </w:pPr>
    </w:p>
    <w:p>
      <w:pPr>
        <w:ind w:left="1260" w:right="260"/>
        <w:spacing w:after="0" w:line="273" w:lineRule="auto"/>
        <w:rPr>
          <w:sz w:val="20"/>
          <w:szCs w:val="20"/>
          <w:color w:val="auto"/>
        </w:rPr>
      </w:pPr>
      <w:r>
        <w:rPr>
          <w:rFonts w:ascii="Times New Roman" w:cs="Times New Roman" w:eastAsia="Times New Roman" w:hAnsi="Times New Roman"/>
          <w:sz w:val="17"/>
          <w:szCs w:val="17"/>
          <w:color w:val="auto"/>
        </w:rPr>
        <w:t>(equivalent to $22,458,937) in 2023, the Incremental Investment Trigger was reached and, the non-gaming investment to be carried out was increased by MOP2,003,000 (equivalent to $249,918) to</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F-66</w:t>
      </w:r>
    </w:p>
    <w:p>
      <w:pPr>
        <w:sectPr>
          <w:pgSz w:w="11900" w:h="16838" w:orient="portrait"/>
          <w:cols w:equalWidth="0" w:num="1">
            <w:col w:w="10940"/>
          </w:cols>
          <w:pgMar w:left="320" w:top="472" w:right="6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60" w:right="7320" w:hanging="550"/>
        <w:spacing w:after="0" w:line="391" w:lineRule="auto"/>
        <w:tabs>
          <w:tab w:leader="none" w:pos="1241"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Concession - Macau</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Committed Investment </w:t>
      </w:r>
      <w:r>
        <w:rPr>
          <w:rFonts w:ascii="Times New Roman" w:cs="Times New Roman" w:eastAsia="Times New Roman" w:hAnsi="Times New Roman"/>
          <w:sz w:val="17"/>
          <w:szCs w:val="17"/>
          <w:color w:val="auto"/>
        </w:rPr>
        <w:t>- continued</w:t>
      </w:r>
    </w:p>
    <w:p>
      <w:pPr>
        <w:ind w:left="1260" w:right="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MOP12,011,000 (equivalent to $1,498,635), with the overall investment amount increased to MOP13,826,700 (equivalent to $1,725,183) to be carried out by December 2032. As of December 31, 2025, the total investment in gaming and non-gaming related projects carried out was in the aggregate amount of MOP5,724,193 (equivalent to $714,218).</w:t>
      </w:r>
    </w:p>
    <w:p>
      <w:pPr>
        <w:spacing w:after="0" w:line="55"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Regular License - Philippines</w:t>
      </w:r>
    </w:p>
    <w:p>
      <w:pPr>
        <w:spacing w:after="0" w:line="12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Commitments required by PAGCOR under the Regular License are as follows:</w:t>
      </w:r>
    </w:p>
    <w:p>
      <w:pPr>
        <w:spacing w:after="0" w:line="131" w:lineRule="exact"/>
        <w:rPr>
          <w:rFonts w:ascii="Times New Roman" w:cs="Times New Roman" w:eastAsia="Times New Roman" w:hAnsi="Times New Roman"/>
          <w:sz w:val="17"/>
          <w:szCs w:val="17"/>
          <w:color w:val="auto"/>
        </w:rPr>
      </w:pPr>
    </w:p>
    <w:p>
      <w:pPr>
        <w:ind w:left="1660" w:right="260" w:hanging="414"/>
        <w:spacing w:after="0" w:line="295" w:lineRule="auto"/>
        <w:tabs>
          <w:tab w:leader="none" w:pos="1660" w:val="left"/>
        </w:tabs>
        <w:numPr>
          <w:ilvl w:val="2"/>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a surety bond in favor of PAGCOR in the amount of PHP100,000 (equivalent to $1,699) to ensure prompt and punctual remittances/payments of all license fees;</w:t>
      </w:r>
    </w:p>
    <w:p>
      <w:pPr>
        <w:spacing w:after="0" w:line="55" w:lineRule="exact"/>
        <w:rPr>
          <w:rFonts w:ascii="Times New Roman" w:cs="Times New Roman" w:eastAsia="Times New Roman" w:hAnsi="Times New Roman"/>
          <w:sz w:val="17"/>
          <w:szCs w:val="17"/>
          <w:color w:val="auto"/>
        </w:rPr>
      </w:pPr>
    </w:p>
    <w:p>
      <w:pPr>
        <w:ind w:left="1660" w:right="80" w:hanging="414"/>
        <w:spacing w:after="0" w:line="264" w:lineRule="auto"/>
        <w:tabs>
          <w:tab w:leader="none" w:pos="1660" w:val="left"/>
        </w:tabs>
        <w:numPr>
          <w:ilvl w:val="2"/>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fees and franchise taxes, amounting to with reference to the income component of the gross gaming revenues: (a) 15% high roller tables; (b) 25% non-high roller tables; (c) 25% slot machines and electronic gaming machines; and (d) 15% junket operations must be remitted, with the 5% franchise taxes included in each of the income component charge % above, in lieu of all other taxes on income from gaming operations. In October 2021, certain terms under the Regular License were amended to include the monthly minimum guarantee fee of PHP300 (equivalent to $5) on certain games under the 25% non-high roller tables effective on March 15, 2022. This monthly minimum guarantee fee was discontinued in June 2022, but was reinstated on March 2, 2023;</w:t>
      </w:r>
    </w:p>
    <w:p>
      <w:pPr>
        <w:spacing w:after="0" w:line="82" w:lineRule="exact"/>
        <w:rPr>
          <w:rFonts w:ascii="Times New Roman" w:cs="Times New Roman" w:eastAsia="Times New Roman" w:hAnsi="Times New Roman"/>
          <w:sz w:val="17"/>
          <w:szCs w:val="17"/>
          <w:color w:val="auto"/>
        </w:rPr>
      </w:pPr>
    </w:p>
    <w:p>
      <w:pPr>
        <w:ind w:left="1660" w:right="20" w:hanging="414"/>
        <w:spacing w:after="0" w:line="295" w:lineRule="auto"/>
        <w:tabs>
          <w:tab w:leader="none" w:pos="1660" w:val="left"/>
        </w:tabs>
        <w:numPr>
          <w:ilvl w:val="2"/>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Licensees are required to remit 2% of casino revenues generated from non-junket operation tables to a foundation devoted to the restoration of Philippine cultural heritage, as selected by the Licensees and approved by PAGCOR;</w:t>
      </w:r>
    </w:p>
    <w:p>
      <w:pPr>
        <w:spacing w:after="0" w:line="55" w:lineRule="exact"/>
        <w:rPr>
          <w:rFonts w:ascii="Times New Roman" w:cs="Times New Roman" w:eastAsia="Times New Roman" w:hAnsi="Times New Roman"/>
          <w:sz w:val="17"/>
          <w:szCs w:val="17"/>
          <w:color w:val="auto"/>
        </w:rPr>
      </w:pPr>
    </w:p>
    <w:p>
      <w:pPr>
        <w:ind w:left="1660" w:hanging="414"/>
        <w:spacing w:after="0" w:line="295" w:lineRule="auto"/>
        <w:tabs>
          <w:tab w:leader="none" w:pos="1660" w:val="left"/>
        </w:tabs>
        <w:numPr>
          <w:ilvl w:val="2"/>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may collect a 5% fee on non-gaming revenue received from food and beverage, retail and entertainment outlets. All revenues from hotel operations should not be subject to the 5% fee except for rental income received from retail concessionaires; and</w:t>
      </w:r>
    </w:p>
    <w:p>
      <w:pPr>
        <w:spacing w:after="0" w:line="55" w:lineRule="exact"/>
        <w:rPr>
          <w:rFonts w:ascii="Times New Roman" w:cs="Times New Roman" w:eastAsia="Times New Roman" w:hAnsi="Times New Roman"/>
          <w:sz w:val="17"/>
          <w:szCs w:val="17"/>
          <w:color w:val="auto"/>
        </w:rPr>
      </w:pPr>
    </w:p>
    <w:p>
      <w:pPr>
        <w:ind w:left="1660" w:right="20" w:hanging="414"/>
        <w:spacing w:after="0" w:line="269" w:lineRule="auto"/>
        <w:tabs>
          <w:tab w:leader="none" w:pos="1660" w:val="left"/>
        </w:tabs>
        <w:numPr>
          <w:ilvl w:val="2"/>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Grounds for revocation of the Regular License, among others, are as follows: (a) failure to comply with material provisions of this license; (b) failure to remit license fees within 30 days from receipt of notice of default; (c) the holder has become bankrupt or insolvent; and (d) if the debt-to-equity ratio is more than 70:30. As of December 31, 2025 and 2024, MPHIL Holdings Group, as one of the Licensee parties, has complied with the required debt-to-equity ratio under the definition as agreed with PAGCOR.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Cooperation Agreement - Philippines</w:t>
      </w:r>
    </w:p>
    <w:p>
      <w:pPr>
        <w:spacing w:after="0" w:line="120" w:lineRule="exact"/>
        <w:rPr>
          <w:sz w:val="20"/>
          <w:szCs w:val="20"/>
          <w:color w:val="auto"/>
        </w:rPr>
      </w:pPr>
    </w:p>
    <w:p>
      <w:pPr>
        <w:ind w:left="1260" w:right="40"/>
        <w:spacing w:after="0" w:line="268" w:lineRule="auto"/>
        <w:rPr>
          <w:sz w:val="20"/>
          <w:szCs w:val="20"/>
          <w:color w:val="auto"/>
        </w:rPr>
      </w:pPr>
      <w:r>
        <w:rPr>
          <w:rFonts w:ascii="Times New Roman" w:cs="Times New Roman" w:eastAsia="Times New Roman" w:hAnsi="Times New Roman"/>
          <w:sz w:val="17"/>
          <w:szCs w:val="17"/>
          <w:color w:val="auto"/>
        </w:rPr>
        <w:t>Under the terms of the Cooperation Agreement, the Licensees are jointly and severally liable to PAGCOR under the Regular License and each Licensee (indemnifying Licensee) must indemnify the other Licensees for any losses suffered or incurred by that Licensee arising out of, or in connection with, any breach by the indemnifying Licensee of the Regular License. Also, each of the Philippine Parties and MPHIL Holdings Group agree to indemnify the non-breaching party for any losses suffered or incurred as a result of a breach of any warranties.</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F-67</w:t>
      </w:r>
    </w:p>
    <w:p>
      <w:pPr>
        <w:sectPr>
          <w:pgSz w:w="11900" w:h="16838" w:orient="portrait"/>
          <w:cols w:equalWidth="0" w:num="1">
            <w:col w:w="10960"/>
          </w:cols>
          <w:pgMar w:left="320" w:top="472" w:right="61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ectPr>
          <w:pgSz w:w="11900" w:h="16838" w:orient="portrait"/>
          <w:cols w:equalWidth="0" w:num="1">
            <w:col w:w="10139"/>
          </w:cols>
          <w:pgMar w:left="320" w:top="472" w:right="1440" w:bottom="1440" w:gutter="0" w:footer="0" w:header="0"/>
        </w:sectPr>
      </w:pPr>
    </w:p>
    <w:bookmarkStart w:id="279" w:name="page280"/>
    <w:bookmarkEnd w:id="279"/>
    <w:p>
      <w:pPr>
        <w:jc w:val="center"/>
        <w:ind w:right="-27"/>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428" w:hanging="428"/>
        <w:spacing w:after="0"/>
        <w:tabs>
          <w:tab w:leader="none" w:pos="428"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color w:val="auto"/>
        </w:rPr>
      </w:pPr>
    </w:p>
    <w:p>
      <w:pPr>
        <w:ind w:left="9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License - Cyprus</w:t>
      </w:r>
    </w:p>
    <w:p>
      <w:pPr>
        <w:spacing w:after="0" w:line="120" w:lineRule="exact"/>
        <w:rPr>
          <w:rFonts w:ascii="Times New Roman" w:cs="Times New Roman" w:eastAsia="Times New Roman" w:hAnsi="Times New Roman"/>
          <w:sz w:val="17"/>
          <w:szCs w:val="17"/>
          <w:color w:val="auto"/>
        </w:rPr>
      </w:pPr>
    </w:p>
    <w:p>
      <w:pPr>
        <w:ind w:left="968" w:right="10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Cyprus License agreement, in addition to the Cyprus License Fee (see Note 6), the Cyprus Subsidiary has committed to pay the Cyprus government a casino tax of an amount equal to 15% of the gross gaming revenue on a monthly basis and the rate shall not be increased during the period of exclusivity for the Cyprus License.</w:t>
      </w:r>
    </w:p>
    <w:p>
      <w:pPr>
        <w:spacing w:after="0" w:line="55" w:lineRule="exact"/>
        <w:rPr>
          <w:rFonts w:ascii="Times New Roman" w:cs="Times New Roman" w:eastAsia="Times New Roman" w:hAnsi="Times New Roman"/>
          <w:sz w:val="17"/>
          <w:szCs w:val="17"/>
          <w:color w:val="auto"/>
        </w:rPr>
      </w:pPr>
    </w:p>
    <w:p>
      <w:pPr>
        <w:ind w:left="9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License - Sri Lanka</w:t>
      </w:r>
    </w:p>
    <w:p>
      <w:pPr>
        <w:spacing w:after="0" w:line="120" w:lineRule="exact"/>
        <w:rPr>
          <w:rFonts w:ascii="Times New Roman" w:cs="Times New Roman" w:eastAsia="Times New Roman" w:hAnsi="Times New Roman"/>
          <w:sz w:val="17"/>
          <w:szCs w:val="17"/>
          <w:color w:val="auto"/>
        </w:rPr>
      </w:pPr>
    </w:p>
    <w:p>
      <w:pPr>
        <w:ind w:left="968"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casino business regulation in Sri Lanka and based on the type of the Sri Lanka License granted by the Sri Lanka government to the Sri Lanka Subsidiary on March 27, 2024, the Sri Lanka Subsidiary is required to (i) invest a minimum amount of $100,000 in a casino; and (ii) operate such casino in an integrated resort in which a minimum of $500,000 has been invested, as approved by the Sri Lanka government. Confirmation of the satisfaction of (ii) above was provided to the Sri Lanka government as part of the Sri Lanka Subsidiary’s application for the Sri Lanka License.</w:t>
      </w:r>
    </w:p>
    <w:p>
      <w:pPr>
        <w:spacing w:after="0" w:line="66" w:lineRule="exact"/>
        <w:rPr>
          <w:rFonts w:ascii="Times New Roman" w:cs="Times New Roman" w:eastAsia="Times New Roman" w:hAnsi="Times New Roman"/>
          <w:sz w:val="17"/>
          <w:szCs w:val="17"/>
          <w:color w:val="auto"/>
        </w:rPr>
      </w:pPr>
    </w:p>
    <w:p>
      <w:pPr>
        <w:ind w:left="968" w:right="1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Sri Lanka Betting and Gaming Levy Act (as amended), the Sri Lanka Subsidiary is subject to (i) an annual levy of LKR500,000 (equivalent to $1,613) from the fiscal year in which it commences carrying on the business of gaming and (ii) a monthly gross collection levy of 15%, which increased to 18% with effect from January 1, 2026 of total collections from the business of gaming (exempted if monthly gross collections do not exceed LKR1,000 (equivalent to $3)).</w:t>
      </w:r>
    </w:p>
    <w:p>
      <w:pPr>
        <w:spacing w:after="0" w:line="62" w:lineRule="exact"/>
        <w:rPr>
          <w:rFonts w:ascii="Times New Roman" w:cs="Times New Roman" w:eastAsia="Times New Roman" w:hAnsi="Times New Roman"/>
          <w:sz w:val="17"/>
          <w:szCs w:val="17"/>
          <w:color w:val="auto"/>
        </w:rPr>
      </w:pPr>
    </w:p>
    <w:p>
      <w:pPr>
        <w:ind w:left="9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Agreement with the Board of Investment - Sri Lanka</w:t>
      </w:r>
    </w:p>
    <w:p>
      <w:pPr>
        <w:spacing w:after="0" w:line="120" w:lineRule="exact"/>
        <w:rPr>
          <w:rFonts w:ascii="Times New Roman" w:cs="Times New Roman" w:eastAsia="Times New Roman" w:hAnsi="Times New Roman"/>
          <w:sz w:val="17"/>
          <w:szCs w:val="17"/>
          <w:color w:val="auto"/>
        </w:rPr>
      </w:pPr>
    </w:p>
    <w:p>
      <w:pPr>
        <w:ind w:left="968"/>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28, 2024, the Sri Lanka Subsidiary signed an agreement (the “BOI Agreement”) with the Board of Investment of Sri Lanka confirming its investment plan and commitment, in return for certain import and labor-related concessions. Pursuant to the BOI Agreement, the Sri Lanka Subsidiary, subject to the terms and certain conditions, was obligated to create and operate a “recreation center including a casino and related activities” at City of Dreams Sri Lanka, with an investment amount of $100,000 to be invested by the earlier of (i) the date which was 24 months from June 28, 2024; and (ii) the date that the Sri Lanka Casino commenced operation as disclosed in Note 1 (the “Investment Commitment”), and which ultimately took place on August 1, 2025. The Investment Commitment was required to be funded by 20% equity and 80% loan capital as foreign direct investment. Before the initial opening of Sri Lanka Casino on August 1, 2025, the Company had made equity and loan investments of LKR7,510,000 (equivalent to $24,535) and $90,000 for the operation and development of the Sri Lanka Casino, and satisfied the Investment Commitment.</w:t>
      </w:r>
    </w:p>
    <w:p>
      <w:pPr>
        <w:spacing w:after="0" w:line="84"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Guarantees</w:t>
      </w:r>
    </w:p>
    <w:p>
      <w:pPr>
        <w:spacing w:after="0" w:line="120" w:lineRule="exact"/>
        <w:rPr>
          <w:rFonts w:ascii="Times New Roman" w:cs="Times New Roman" w:eastAsia="Times New Roman" w:hAnsi="Times New Roman"/>
          <w:sz w:val="17"/>
          <w:szCs w:val="17"/>
          <w:color w:val="auto"/>
        </w:rPr>
      </w:pPr>
    </w:p>
    <w:p>
      <w:pPr>
        <w:ind w:left="9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as disclosed in Notes 10 and 20(b), the Company has made the following significant guarantees as of December 31, 2025:</w:t>
      </w:r>
    </w:p>
    <w:p>
      <w:pPr>
        <w:spacing w:after="0" w:line="131" w:lineRule="exact"/>
        <w:rPr>
          <w:rFonts w:ascii="Times New Roman" w:cs="Times New Roman" w:eastAsia="Times New Roman" w:hAnsi="Times New Roman"/>
          <w:sz w:val="17"/>
          <w:szCs w:val="17"/>
          <w:color w:val="auto"/>
        </w:rPr>
      </w:pPr>
    </w:p>
    <w:p>
      <w:pPr>
        <w:ind w:left="1368" w:right="180" w:hanging="414"/>
        <w:spacing w:after="0" w:line="295" w:lineRule="auto"/>
        <w:tabs>
          <w:tab w:leader="none" w:pos="1368" w:val="left"/>
        </w:tabs>
        <w:numPr>
          <w:ilvl w:val="2"/>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entered into a deed of guarantee with a third party amounting to $5,000 to guarantee certain payment obligations of the City of Dreams’ operations.</w:t>
      </w:r>
    </w:p>
    <w:p>
      <w:pPr>
        <w:spacing w:after="0" w:line="55" w:lineRule="exact"/>
        <w:rPr>
          <w:rFonts w:ascii="Times New Roman" w:cs="Times New Roman" w:eastAsia="Times New Roman" w:hAnsi="Times New Roman"/>
          <w:sz w:val="17"/>
          <w:szCs w:val="17"/>
          <w:color w:val="auto"/>
        </w:rPr>
      </w:pPr>
    </w:p>
    <w:p>
      <w:pPr>
        <w:ind w:left="1368" w:right="20" w:hanging="414"/>
        <w:spacing w:after="0" w:line="269" w:lineRule="auto"/>
        <w:tabs>
          <w:tab w:leader="none" w:pos="1368" w:val="left"/>
        </w:tabs>
        <w:numPr>
          <w:ilvl w:val="2"/>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on August 31, 2025, one of the Melco Resorts’ subsidiaries amended the terms of its prior trade credit facility agreements entered into with a bank to meet certain payment obligations of the Studio City project, including a reduction of total facility amount to HK$25,000 (equivalent to $3,213) and an extension of the maturity date for two years to August 31, 2027 (“Trade Credit Facilities”). The Trade Credit Facilities are guaranteed by SCC and are supported by a promissory</w:t>
      </w:r>
    </w:p>
    <w:p>
      <w:pPr>
        <w:spacing w:after="0" w:line="10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F-68</w:t>
      </w:r>
    </w:p>
    <w:p>
      <w:pPr>
        <w:sectPr>
          <w:pgSz w:w="11900" w:h="16838" w:orient="portrait"/>
          <w:cols w:equalWidth="0" w:num="1">
            <w:col w:w="10648"/>
          </w:cols>
          <w:pgMar w:left="612" w:top="119" w:right="6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Guarantees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1680" w:right="560"/>
        <w:spacing w:after="0" w:line="295" w:lineRule="auto"/>
        <w:rPr>
          <w:sz w:val="20"/>
          <w:szCs w:val="20"/>
          <w:color w:val="auto"/>
        </w:rPr>
      </w:pPr>
      <w:r>
        <w:rPr>
          <w:rFonts w:ascii="Times New Roman" w:cs="Times New Roman" w:eastAsia="Times New Roman" w:hAnsi="Times New Roman"/>
          <w:sz w:val="17"/>
          <w:szCs w:val="17"/>
          <w:color w:val="auto"/>
        </w:rPr>
        <w:t>note (“Livrança”) of HK$25,000 (equivalent to $3,213) issued by such Melco Resorts’ subsidiary. As of December 31, 2025, approximately $643 of the Trade Credit Facilities had been utilized.</w:t>
      </w:r>
    </w:p>
    <w:p>
      <w:pPr>
        <w:spacing w:after="0" w:line="55" w:lineRule="exact"/>
        <w:rPr>
          <w:sz w:val="20"/>
          <w:szCs w:val="20"/>
          <w:color w:val="auto"/>
        </w:rPr>
      </w:pPr>
    </w:p>
    <w:p>
      <w:pPr>
        <w:ind w:left="1660" w:right="40" w:hanging="414"/>
        <w:spacing w:after="0" w:line="295" w:lineRule="auto"/>
        <w:tabs>
          <w:tab w:leader="none" w:pos="1660" w:val="left"/>
        </w:tabs>
        <w:numPr>
          <w:ilvl w:val="2"/>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MRL issued a corporate guarantee of PHP100,000 (equivalent to $1,699) to a bank in respect of a surety bond issued to PAGCOR as disclosed in Note 20(b) under the Regular License.</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Litigation</w:t>
      </w:r>
    </w:p>
    <w:p>
      <w:pPr>
        <w:spacing w:after="0" w:line="120" w:lineRule="exact"/>
        <w:rPr>
          <w:rFonts w:ascii="Times New Roman" w:cs="Times New Roman" w:eastAsia="Times New Roman" w:hAnsi="Times New Roman"/>
          <w:sz w:val="17"/>
          <w:szCs w:val="17"/>
          <w:color w:val="auto"/>
        </w:rPr>
      </w:pPr>
    </w:p>
    <w:p>
      <w:pPr>
        <w:ind w:left="1260"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24, 2024, Avax S.A. &amp; Terna S.A. (the “Claimants”, main contractor for the construction of City of Dreams Mediterranean) filed a notice of arbitration against ICR Cyprus Resort Development Co Limited, a subsidiary of Melco Resorts (the “Respondent”) which initiated an arbitration under the London Court of International Arbitration Rules, principally seeking additional payment for the construction of City of Dreams Mediterranean (the “Arbitration”). The Respondent believes that the claims are without merit and intends to continue to vigorously defend against the claims. The Respondent has significant counter claims against the Claimants which the Respondent intends to continue to vigorously pursue. The Respondent has determined that based on the Arbitration progress to date, it is currently unable to determine the outcome of the Arbitration or reasonably estimate the range of possible loss, if any.</w:t>
      </w:r>
    </w:p>
    <w:p>
      <w:pPr>
        <w:spacing w:after="0" w:line="68" w:lineRule="exact"/>
        <w:rPr>
          <w:rFonts w:ascii="Times New Roman" w:cs="Times New Roman" w:eastAsia="Times New Roman" w:hAnsi="Times New Roman"/>
          <w:sz w:val="17"/>
          <w:szCs w:val="17"/>
          <w:color w:val="auto"/>
        </w:rPr>
      </w:pPr>
    </w:p>
    <w:p>
      <w:pPr>
        <w:ind w:left="1260" w:right="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Company was a party to certain other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2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2025, 2024 and 2023, the Company entered into the following significant related party transactions:</w:t>
      </w: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7"/>
              </w:rPr>
              <w:t>Related companies</w:t>
            </w:r>
          </w:p>
        </w:tc>
        <w:tc>
          <w:tcPr>
            <w:tcW w:w="2160" w:type="dxa"/>
            <w:vAlign w:val="bottom"/>
            <w:vMerge w:val="restart"/>
          </w:tcPr>
          <w:p>
            <w:pPr>
              <w:spacing w:after="0"/>
              <w:rPr>
                <w:sz w:val="17"/>
                <w:szCs w:val="17"/>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Nature of transactions</w:t>
            </w:r>
          </w:p>
        </w:tc>
        <w:tc>
          <w:tcPr>
            <w:tcW w:w="2180" w:type="dxa"/>
            <w:vAlign w:val="bottom"/>
            <w:gridSpan w:val="7"/>
          </w:tcPr>
          <w:p>
            <w:pPr>
              <w:jc w:val="right"/>
              <w:ind w:right="30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179"/>
        </w:trPr>
        <w:tc>
          <w:tcPr>
            <w:tcW w:w="1200" w:type="dxa"/>
            <w:vAlign w:val="bottom"/>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540" w:type="dxa"/>
            <w:vAlign w:val="bottom"/>
            <w:tcBorders>
              <w:top w:val="single" w:sz="8" w:color="auto"/>
            </w:tcBorders>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2025</w:t>
            </w:r>
          </w:p>
        </w:tc>
        <w:tc>
          <w:tcPr>
            <w:tcW w:w="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82"/>
              <w:spacing w:after="0" w:line="179" w:lineRule="exact"/>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02"/>
              <w:spacing w:after="0" w:line="179" w:lineRule="exact"/>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i w:val="1"/>
                <w:iCs w:val="1"/>
                <w:color w:val="auto"/>
              </w:rPr>
              <w:t>Transactions with affiliated companies</w:t>
            </w:r>
          </w:p>
        </w:tc>
        <w:tc>
          <w:tcPr>
            <w:tcW w:w="13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Melco International and its subsidiaries</w:t>
            </w: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Revenues and income (services provided by the Company):</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Shared service fee income for corporate office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1,770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1,704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2,198</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Loan interest income</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Costs and expenses (services provided to the Company):</w:t>
            </w: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7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6"/>
                <w:szCs w:val="16"/>
                <w:color w:val="auto"/>
              </w:rPr>
              <w:t>Management fee expenses</w:t>
            </w:r>
            <w:r>
              <w:rPr>
                <w:rFonts w:ascii="Times New Roman" w:cs="Times New Roman" w:eastAsia="Times New Roman" w:hAnsi="Times New Roman"/>
                <w:sz w:val="19"/>
                <w:szCs w:val="19"/>
                <w:color w:val="auto"/>
                <w:vertAlign w:val="superscript"/>
              </w:rPr>
              <w:t>(1)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6"/>
                <w:szCs w:val="16"/>
                <w:color w:val="auto"/>
              </w:rPr>
              <w:t>Trademark license fees</w:t>
            </w:r>
            <w:r>
              <w:rPr>
                <w:rFonts w:ascii="Times New Roman" w:cs="Times New Roman" w:eastAsia="Times New Roman" w:hAnsi="Times New Roman"/>
                <w:sz w:val="19"/>
                <w:szCs w:val="19"/>
                <w:color w:val="auto"/>
                <w:vertAlign w:val="superscript"/>
              </w:rPr>
              <w:t>(2)</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32,671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2"/>
        </w:trPr>
        <w:tc>
          <w:tcPr>
            <w:tcW w:w="33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Irad Imaging and Diagnostic Medical Center Ltd.</w:t>
            </w: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 (services provided by the Company):</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(“iRad”)</w:t>
            </w:r>
            <w:r>
              <w:rPr>
                <w:rFonts w:ascii="Times New Roman" w:cs="Times New Roman" w:eastAsia="Times New Roman" w:hAnsi="Times New Roman"/>
                <w:sz w:val="19"/>
                <w:szCs w:val="19"/>
                <w:color w:val="auto"/>
                <w:vertAlign w:val="superscript"/>
              </w:rPr>
              <w:t>(3)</w:t>
            </w:r>
          </w:p>
        </w:tc>
        <w:tc>
          <w:tcPr>
            <w:tcW w:w="47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Mall and sales-type lease income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Costs and expenses (services provided to the Company):</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of goods and services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3717290</wp:posOffset>
            </wp:positionV>
            <wp:extent cx="7178675" cy="666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7178675" cy="66675"/>
                    </a:xfrm>
                    <a:prstGeom prst="rect">
                      <a:avLst/>
                    </a:prstGeom>
                    <a:noFill/>
                  </pic:spPr>
                </pic:pic>
              </a:graphicData>
            </a:graphic>
          </wp:anchor>
        </w:drawing>
      </w:r>
    </w:p>
    <w:p>
      <w:pPr>
        <w:sectPr>
          <w:pgSz w:w="11900" w:h="16838" w:orient="portrait"/>
          <w:cols w:equalWidth="0" w:num="1">
            <w:col w:w="10960"/>
          </w:cols>
          <w:pgMar w:left="320" w:top="472" w:right="6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r>
        <w:rPr>
          <w:rFonts w:ascii="Times New Roman" w:cs="Times New Roman" w:eastAsia="Times New Roman" w:hAnsi="Times New Roman"/>
          <w:sz w:val="17"/>
          <w:szCs w:val="17"/>
          <w:color w:val="auto"/>
        </w:rPr>
        <w:t xml:space="preserve"> - continued</w:t>
      </w:r>
    </w:p>
    <w:p>
      <w:pPr>
        <w:spacing w:after="0" w:line="137" w:lineRule="exact"/>
        <w:rPr>
          <w:rFonts w:ascii="Times New Roman" w:cs="Times New Roman" w:eastAsia="Times New Roman" w:hAnsi="Times New Roman"/>
          <w:sz w:val="17"/>
          <w:szCs w:val="17"/>
          <w:b w:val="1"/>
          <w:bCs w:val="1"/>
          <w:color w:val="auto"/>
        </w:rPr>
      </w:pPr>
    </w:p>
    <w:p>
      <w:pPr>
        <w:ind w:left="1120" w:right="160" w:hanging="410"/>
        <w:spacing w:after="0" w:line="281" w:lineRule="auto"/>
        <w:tabs>
          <w:tab w:leader="none" w:pos="112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mainly represents management fee expenses for the services provided by the senior management of Melco International and for the operation of the office of Melco Resorts’ Chief Executive Officer.</w:t>
      </w:r>
    </w:p>
    <w:p>
      <w:pPr>
        <w:spacing w:after="0" w:line="78" w:lineRule="exact"/>
        <w:rPr>
          <w:rFonts w:ascii="Times New Roman" w:cs="Times New Roman" w:eastAsia="Times New Roman" w:hAnsi="Times New Roman"/>
          <w:sz w:val="16"/>
          <w:szCs w:val="16"/>
          <w:color w:val="auto"/>
        </w:rPr>
      </w:pPr>
    </w:p>
    <w:p>
      <w:pPr>
        <w:jc w:val="both"/>
        <w:ind w:left="1120" w:right="60" w:hanging="410"/>
        <w:spacing w:after="0" w:line="268" w:lineRule="auto"/>
        <w:tabs>
          <w:tab w:leader="none" w:pos="112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represents the fees to use certain licensed marks granted by Melco International, as licensor, to the Company in the territories as defined in the trademark license agreement with a term of 10 years commenced on January 1, 2024 and the trademark license fees are payable at a percentage of the gross revenues of City of Dreams as agreed from time to time between both parties.</w:t>
      </w:r>
    </w:p>
    <w:p>
      <w:pPr>
        <w:spacing w:after="0" w:line="89" w:lineRule="exact"/>
        <w:rPr>
          <w:rFonts w:ascii="Times New Roman" w:cs="Times New Roman" w:eastAsia="Times New Roman" w:hAnsi="Times New Roman"/>
          <w:sz w:val="16"/>
          <w:szCs w:val="16"/>
          <w:color w:val="auto"/>
        </w:rPr>
      </w:pPr>
    </w:p>
    <w:p>
      <w:pPr>
        <w:ind w:left="1120" w:hanging="410"/>
        <w:spacing w:after="0" w:line="260" w:lineRule="auto"/>
        <w:tabs>
          <w:tab w:leader="none" w:pos="112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an operating agreement (the “Studio City Operating Agreement”) with iRad, an affiliated company of Mr. Lawrence Yau Lung Ho (“Mr. Ho”), Melco Resorts’ Chief Executive Officer, to grant iRad the right to operate a private hospital focused on imaging and diagnostic medical services at Studio City and to utilize certain medical equipment for the operation of iRad at Studio City (the “Equipment”), for an initial period commencing from October 1, 2025 and ending on November 30, 2034, with an option to renew for two further periods of five years each by mutual agreement. As of December 31, 2025, a security deposit of MOP15,652 (equivalent to $1,953) received from iRad pursuant to the Studio City Operating Agreement, of which MOP3,679 (equivalent to $459) was included in accrued expenses and other current liabilities and MOP11,973 (equivalent to $1,494) was included in other long-term liabilities in the accompanying consolidated balance sheets.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Other Related Party Transactions</w:t>
      </w:r>
    </w:p>
    <w:p>
      <w:pPr>
        <w:spacing w:after="0" w:line="120" w:lineRule="exact"/>
        <w:rPr>
          <w:sz w:val="20"/>
          <w:szCs w:val="20"/>
          <w:color w:val="auto"/>
        </w:rPr>
      </w:pPr>
    </w:p>
    <w:p>
      <w:pPr>
        <w:ind w:left="720" w:right="60"/>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2025, an aggregate principal amount of $1,000 of the 2025 MRF Senior Notes and $1,386 of the 2025 SCF Senior Notes held by an independent director of Melco Resorts, were redeemed at maturity by MRF and SCF, respectively. In September 2025, an independent director of Melco Resorts subscribed an aggregate principal amount of $4,000 of the 2033 MRF Senior Notes through the offering. During the year ended December 31, 2025, an aggregate principal amount of $200 of the 2026 MRF Senior Notes held by an executive officer of Melco Resorts was redeemed by MRF for a consideration of $200. As of December 31, 2025, Mr. Ho’s controlled entity; an independent director of Melco Resorts; and an executive officer of Melco Resorts held an aggregate principal amount of $30,000, $8,500 and $1,800 senior notes issued by subsidiaries of Melco Resorts, respectively.</w:t>
      </w:r>
    </w:p>
    <w:p>
      <w:pPr>
        <w:spacing w:after="0" w:line="69" w:lineRule="exact"/>
        <w:rPr>
          <w:sz w:val="20"/>
          <w:szCs w:val="20"/>
          <w:color w:val="auto"/>
        </w:rPr>
      </w:pPr>
    </w:p>
    <w:p>
      <w:pPr>
        <w:ind w:left="720"/>
        <w:spacing w:after="0" w:line="266" w:lineRule="auto"/>
        <w:rPr>
          <w:sz w:val="20"/>
          <w:szCs w:val="20"/>
          <w:color w:val="auto"/>
        </w:rPr>
      </w:pPr>
      <w:r>
        <w:rPr>
          <w:rFonts w:ascii="Times New Roman" w:cs="Times New Roman" w:eastAsia="Times New Roman" w:hAnsi="Times New Roman"/>
          <w:sz w:val="17"/>
          <w:szCs w:val="17"/>
          <w:color w:val="auto"/>
        </w:rPr>
        <w:t>During the year ended December 31, 2024, an aggregate principal amount of $30,000 and $705 of the 2025 SCF Senior Notes held by Mr. Ho and an independent director of Melco Resorts were purchased by SCF for a consideration of $30,000 and $705, respectively. In April 2024, an independent director of Melco Resorts subscribed an aggregate principal amount of $1,000 of the 2032 MRF Senior Notes through the offering. As of December 31, 2024, Mr. Ho’s controlled entity; an independent director of Melco Resorts; and an executive officer of Melco Resorts held an aggregate principal amount of $30,000, $3,886 and $1,600 senior notes issued by subsidiaries of Melco Resorts, respectively.</w:t>
      </w:r>
    </w:p>
    <w:p>
      <w:pPr>
        <w:spacing w:after="0" w:line="67" w:lineRule="exact"/>
        <w:rPr>
          <w:sz w:val="20"/>
          <w:szCs w:val="20"/>
          <w:color w:val="auto"/>
        </w:rPr>
      </w:pPr>
    </w:p>
    <w:p>
      <w:pPr>
        <w:ind w:left="720" w:right="240"/>
        <w:spacing w:after="0" w:line="295" w:lineRule="auto"/>
        <w:rPr>
          <w:sz w:val="20"/>
          <w:szCs w:val="20"/>
          <w:color w:val="auto"/>
        </w:rPr>
      </w:pPr>
      <w:r>
        <w:rPr>
          <w:rFonts w:ascii="Times New Roman" w:cs="Times New Roman" w:eastAsia="Times New Roman" w:hAnsi="Times New Roman"/>
          <w:sz w:val="17"/>
          <w:szCs w:val="17"/>
          <w:color w:val="auto"/>
        </w:rPr>
        <w:t>During the year ended December 31, 2023, a principal amount of $909 of the 2025 SCF Senior Notes held by an independent director of Melco Resorts was purchased by SCF for a consideration of $886.</w:t>
      </w:r>
    </w:p>
    <w:p>
      <w:pPr>
        <w:spacing w:after="0" w:line="42" w:lineRule="exact"/>
        <w:rPr>
          <w:sz w:val="20"/>
          <w:szCs w:val="20"/>
          <w:color w:val="auto"/>
        </w:rPr>
      </w:pPr>
    </w:p>
    <w:p>
      <w:pPr>
        <w:ind w:left="720" w:right="240"/>
        <w:spacing w:after="0" w:line="264" w:lineRule="auto"/>
        <w:rPr>
          <w:sz w:val="20"/>
          <w:szCs w:val="20"/>
          <w:color w:val="auto"/>
        </w:rPr>
      </w:pPr>
      <w:r>
        <w:rPr>
          <w:rFonts w:ascii="Times New Roman" w:cs="Times New Roman" w:eastAsia="Times New Roman" w:hAnsi="Times New Roman"/>
          <w:sz w:val="17"/>
          <w:szCs w:val="17"/>
          <w:color w:val="auto"/>
        </w:rPr>
        <w:t>During the years ended December 31, 2025, 2024 and 2023, total interest expense of $1,500, $2,508 and $3,300, in relation to the senior notes issued by a subsidiary of Melco Resorts, were paid or payable to Mr. Ho and his controlled entity, respectively. During the years ended December 31, 2025, 2024 and 2023, total interest expense of $307, $486 and $519, in relation to the senior notes issued by subsidiaries of Melco Resorts, were paid or payable to an independent director of Melco Resorts, respectively. During the years ended December 31, 2025 and 2024, total interest expense of $121 and $25, in relation to the senior notes issued by subsidiaries of Melco Resorts, were paid or payable to an executive officer of Melco Resorts, respectively.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F-70</w:t>
      </w:r>
    </w:p>
    <w:p>
      <w:pPr>
        <w:sectPr>
          <w:pgSz w:w="11900" w:h="16838" w:orient="portrait"/>
          <w:cols w:equalWidth="0" w:num="1">
            <w:col w:w="10960"/>
          </w:cols>
          <w:pgMar w:left="320" w:top="119" w:right="6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Receivables from Affiliated Companies</w:t>
      </w:r>
    </w:p>
    <w:p>
      <w:pPr>
        <w:spacing w:after="0" w:line="120" w:lineRule="exact"/>
        <w:rPr>
          <w:rFonts w:ascii="Times New Roman" w:cs="Times New Roman" w:eastAsia="Times New Roman" w:hAnsi="Times New Roman"/>
          <w:sz w:val="17"/>
          <w:szCs w:val="17"/>
          <w:color w:val="auto"/>
        </w:rPr>
      </w:pPr>
    </w:p>
    <w:p>
      <w:pPr>
        <w:ind w:left="1260" w:right="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mainly arising from operating income or prepayment of operating expenses on behalf of the affiliated companies as of December 31, 2025 and 2024 are unsecured, non-interest bearing and repayable on demand with details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8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8"/>
              </w:rPr>
              <w:t>2025</w:t>
            </w:r>
          </w:p>
        </w:tc>
        <w:tc>
          <w:tcPr>
            <w:tcW w:w="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CCEEFF"/>
            </w:tcBorders>
          </w:tcPr>
          <w:p>
            <w:pPr>
              <w:spacing w:after="0"/>
              <w:rPr>
                <w:sz w:val="17"/>
                <w:szCs w:val="17"/>
                <w:color w:val="auto"/>
              </w:rPr>
            </w:pPr>
          </w:p>
        </w:tc>
      </w:tr>
      <w:tr>
        <w:trPr>
          <w:trHeight w:val="20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Melco International and its subsidiaries and joint venture</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$364</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w:t>
            </w:r>
          </w:p>
        </w:tc>
        <w:tc>
          <w:tcPr>
            <w:tcW w:w="60" w:type="dxa"/>
            <w:vAlign w:val="bottom"/>
            <w:shd w:val="clear" w:color="auto" w:fill="CCEEFF"/>
          </w:tcPr>
          <w:p>
            <w:pPr>
              <w:spacing w:after="0"/>
              <w:rPr>
                <w:sz w:val="17"/>
                <w:szCs w:val="17"/>
                <w:color w:val="auto"/>
              </w:rPr>
            </w:pPr>
          </w:p>
        </w:tc>
      </w:tr>
      <w:tr>
        <w:trPr>
          <w:trHeight w:val="209"/>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iRad</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60" w:type="dxa"/>
            <w:vAlign w:val="bottom"/>
            <w:shd w:val="clear" w:color="auto" w:fill="CCEEFF"/>
          </w:tcPr>
          <w:p>
            <w:pPr>
              <w:spacing w:after="0"/>
              <w:rPr>
                <w:sz w:val="18"/>
                <w:szCs w:val="18"/>
                <w:color w:val="auto"/>
              </w:rPr>
            </w:pPr>
          </w:p>
        </w:tc>
      </w:tr>
      <w:tr>
        <w:trPr>
          <w:trHeight w:val="215"/>
        </w:trPr>
        <w:tc>
          <w:tcPr>
            <w:tcW w:w="8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r>
              <w:rPr>
                <w:rFonts w:ascii="Times New Roman" w:cs="Times New Roman" w:eastAsia="Times New Roman" w:hAnsi="Times New Roman"/>
                <w:sz w:val="17"/>
                <w:szCs w:val="17"/>
                <w:color w:val="auto"/>
                <w:w w:val="93"/>
              </w:rPr>
              <w:t>887</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  2,422</w:t>
            </w:r>
          </w:p>
        </w:tc>
        <w:tc>
          <w:tcPr>
            <w:tcW w:w="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Payables to Affiliated Companies</w:t>
      </w:r>
    </w:p>
    <w:p>
      <w:pPr>
        <w:spacing w:after="0" w:line="120" w:lineRule="exact"/>
        <w:rPr>
          <w:rFonts w:ascii="Times New Roman" w:cs="Times New Roman" w:eastAsia="Times New Roman" w:hAnsi="Times New Roman"/>
          <w:sz w:val="17"/>
          <w:szCs w:val="17"/>
          <w:color w:val="auto"/>
        </w:rPr>
      </w:pPr>
    </w:p>
    <w:p>
      <w:pPr>
        <w:ind w:left="1260" w:right="1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mainly arising from operating expenses and expenses paid by affiliated companies on behalf of the Company as of December 31, 2025 and 2024, are unsecured, non-interest bearing and repayable on demand with details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36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554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2025</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2024</w:t>
            </w:r>
          </w:p>
        </w:tc>
        <w:tc>
          <w:tcPr>
            <w:tcW w:w="60" w:type="dxa"/>
            <w:vAlign w:val="bottom"/>
            <w:tcBorders>
              <w:bottom w:val="single" w:sz="8" w:color="CCEEFF"/>
            </w:tcBorders>
          </w:tcPr>
          <w:p>
            <w:pPr>
              <w:spacing w:after="0"/>
              <w:rPr>
                <w:sz w:val="17"/>
                <w:szCs w:val="17"/>
                <w:color w:val="auto"/>
              </w:rPr>
            </w:pPr>
          </w:p>
        </w:tc>
      </w:tr>
      <w:tr>
        <w:trPr>
          <w:trHeight w:val="20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Melco International and its subsidiaries</w:t>
            </w:r>
          </w:p>
        </w:tc>
        <w:tc>
          <w:tcPr>
            <w:tcW w:w="2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$669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0" w:type="dxa"/>
            <w:vAlign w:val="bottom"/>
            <w:shd w:val="clear" w:color="auto" w:fill="CCEEFF"/>
          </w:tcPr>
          <w:p>
            <w:pPr>
              <w:spacing w:after="0"/>
              <w:rPr>
                <w:sz w:val="17"/>
                <w:szCs w:val="17"/>
                <w:color w:val="auto"/>
              </w:rPr>
            </w:pPr>
          </w:p>
        </w:tc>
      </w:tr>
      <w:tr>
        <w:trPr>
          <w:trHeight w:val="215"/>
        </w:trPr>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iRad</w:t>
            </w:r>
          </w:p>
        </w:tc>
        <w:tc>
          <w:tcPr>
            <w:tcW w:w="280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r>
      <w:tr>
        <w:trPr>
          <w:trHeight w:val="209"/>
        </w:trPr>
        <w:tc>
          <w:tcPr>
            <w:tcW w:w="55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719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82"/>
              </w:rPr>
              <w:t>     39</w:t>
            </w:r>
          </w:p>
        </w:tc>
      </w:tr>
      <w:tr>
        <w:trPr>
          <w:trHeight w:val="20"/>
        </w:trPr>
        <w:tc>
          <w:tcPr>
            <w:tcW w:w="5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1240" w:hanging="530"/>
        <w:spacing w:after="0"/>
        <w:tabs>
          <w:tab w:leader="none" w:pos="1240"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Receivables from an Affiliated Company, Non-current</w:t>
      </w:r>
    </w:p>
    <w:p>
      <w:pPr>
        <w:spacing w:after="0" w:line="120" w:lineRule="exact"/>
        <w:rPr>
          <w:rFonts w:ascii="Times New Roman" w:cs="Times New Roman" w:eastAsia="Times New Roman" w:hAnsi="Times New Roman"/>
          <w:sz w:val="17"/>
          <w:szCs w:val="17"/>
          <w:color w:val="auto"/>
        </w:rPr>
      </w:pPr>
    </w:p>
    <w:p>
      <w:pPr>
        <w:ind w:left="1260" w:right="8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28, 2022, Melco Resorts entered into a facility agreement (the “Facility Agreement”) with Melco International pursuant to which a $250,000 revolving loan facility was granted by Melco Resorts as lender to Melco International as borrower for a period of 12 months after the first utilization date (the last day of such period being the “Final Repayment Date”). Melco International could request utilization of all or part of the loan from the date of the Facility Agreement until one month prior to the Final Repayment Date for general corporate purposes of Melco International and its subsidiaries (excluding the Company). Principal amounts outstanding under the Facility Agreement bore interest at an annual rate of 11%, with outstanding principal amounts and accrued interest payable by Melco International on the Final Repayment Date. On December 30, 2022, Melco Resorts and Melco International agreed to amend the Final Repayment Date to June 30, 2024, subject to certain conditions.</w:t>
      </w:r>
    </w:p>
    <w:p>
      <w:pPr>
        <w:spacing w:after="0" w:line="70" w:lineRule="exact"/>
        <w:rPr>
          <w:rFonts w:ascii="Times New Roman" w:cs="Times New Roman" w:eastAsia="Times New Roman" w:hAnsi="Times New Roman"/>
          <w:sz w:val="17"/>
          <w:szCs w:val="17"/>
          <w:color w:val="auto"/>
        </w:rPr>
      </w:pPr>
    </w:p>
    <w:p>
      <w:pPr>
        <w:jc w:val="both"/>
        <w:ind w:left="1260" w:right="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amount of $200,000 under the Facility Agreement was fully repaid by Melco International on January 18, 2023. The Facility Agreement was terminated on March 10, 2023 following the settlement of the related accrued loan interest under the Facility Agreement due by Melco International to Melco Resorts on the same date.</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2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120" w:lineRule="exact"/>
        <w:rPr>
          <w:rFonts w:ascii="Times New Roman" w:cs="Times New Roman" w:eastAsia="Times New Roman" w:hAnsi="Times New Roman"/>
          <w:sz w:val="17"/>
          <w:szCs w:val="17"/>
          <w:b w:val="1"/>
          <w:bCs w:val="1"/>
          <w:color w:val="auto"/>
        </w:rPr>
      </w:pPr>
    </w:p>
    <w:p>
      <w:pPr>
        <w:ind w:left="720" w:right="34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principally engaged in the gaming and hospitality business in Asia and Europe and its principal operating and developmental activities occur in three geographic areas: Macau, the Philippines and Cyprus. The</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F-71</w:t>
      </w:r>
    </w:p>
    <w:p>
      <w:pPr>
        <w:sectPr>
          <w:pgSz w:w="11900" w:h="16838" w:orient="portrait"/>
          <w:cols w:equalWidth="0" w:num="1">
            <w:col w:w="10960"/>
          </w:cols>
          <w:pgMar w:left="320" w:top="472" w:right="6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Company views each of its operating properties as a reportable segment. The Company monitors its operations and evaluates earnings by reviewing the assets and operations of each of its reportable segment which includes City of Dreams, Studio City, Altira Macau, Mocha and Other, City of Dreams Manila, City of Dreams Mediterranean and Other and Other Operations. The development projects in other jurisdictions are included in the Corporate and Other category and do not meet the criteria of a reportable segment. Effective from August 1, 2025, the initial opening of Sri Lanka Casino, the operations in Sri Lanka including the provision of management services to Nüwa Sri Lanka effective from its opening on July 15, 2025, which were previously reported under the Corporate and Other category, has been included in the Other Operations segment for the year ended December 31, 2025 and 2024. Mocha and Other segment included the operation of Grand Dragon Casino before its closure and was changed to Mocha segment effective on September 23, 2025. Effective from June 12, 2023, with the soft opening of City of Dreams Mediterranean, the Cyprus Operations segment which previously included the operation of the temporary casino before its closure on June 9, 2023 and the licensed satellite casinos in Cyprus, has been renamed to City of Dreams Mediterranean and Other segment which included the operation of City of Dreams Mediterranean and the licensed satellite casinos in Cyprus.</w:t>
      </w:r>
    </w:p>
    <w:p>
      <w:pPr>
        <w:spacing w:after="0" w:line="179"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segment information for total assets and capital expenditures is as follows:</w:t>
      </w:r>
    </w:p>
    <w:p>
      <w:pPr>
        <w:spacing w:after="0" w:line="247"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7"/>
                <w:szCs w:val="17"/>
                <w:color w:val="auto"/>
              </w:rPr>
              <w:t>December 31,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6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2,583,130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2,691,228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2,720,571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Studio City</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3,266,485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3,444,870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3,705,391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51,886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45,697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77,631</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Mocha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58,663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139,511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374,540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376,244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720,225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682,937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157,914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83,653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384,845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521,203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consolidated assets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7,597,688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7,985,343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8,335,072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96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9"/>
          </w:tcPr>
          <w:p>
            <w:pPr>
              <w:jc w:val="center"/>
              <w:ind w:right="20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496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w:t>
            </w: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83,988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Studio City</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86,071</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73,452</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Altira Macau</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5,614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Mocha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6,549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of Dreams Manila</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17,940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24,970</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City of Dreams Mediterranean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28,298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3,206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7"/>
              </w:rPr>
              <w:t>   343,190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243,481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252,490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40"/>
        <w:spacing w:after="0" w:line="276" w:lineRule="auto"/>
        <w:rPr>
          <w:sz w:val="20"/>
          <w:szCs w:val="20"/>
          <w:color w:val="auto"/>
        </w:rPr>
      </w:pPr>
      <w:r>
        <w:rPr>
          <w:rFonts w:ascii="Times New Roman" w:cs="Times New Roman" w:eastAsia="Times New Roman" w:hAnsi="Times New Roman"/>
          <w:sz w:val="17"/>
          <w:szCs w:val="17"/>
          <w:color w:val="auto"/>
        </w:rPr>
        <w:t>Melco Resorts’ Chief Executive Officer is the Chief Operating Decision Maker (“CODM”) of the Company. The CODM uses Adjusted property EBITDA for each segment as the measure of segment profit or loss to allocate resources to each segment and to compare the operating performance of the Company’s properties</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F-72</w:t>
      </w:r>
    </w:p>
    <w:p>
      <w:pPr>
        <w:sectPr>
          <w:pgSz w:w="11900" w:h="16838" w:orient="portrait"/>
          <w:cols w:equalWidth="0" w:num="1">
            <w:col w:w="10960"/>
          </w:cols>
          <w:pgMar w:left="320" w:top="472" w:right="6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right="1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 those of its competitors as a way to assess performance. Adjusted property EBITDA is net income (loss) before interest, taxes, depreciation, amortization, pre-opening costs, development costs, property charges and other, share-based compensation, payments to the Philippine Parties, integrated resort and casino rent, Corporate and Other expenses, and other non-operating income and expenses.</w:t>
      </w:r>
    </w:p>
    <w:p>
      <w:pPr>
        <w:spacing w:after="0" w:line="57" w:lineRule="exact"/>
        <w:rPr>
          <w:rFonts w:ascii="Times New Roman" w:cs="Times New Roman" w:eastAsia="Times New Roman" w:hAnsi="Times New Roman"/>
          <w:sz w:val="17"/>
          <w:szCs w:val="17"/>
          <w:b w:val="1"/>
          <w:bCs w:val="1"/>
          <w:color w:val="auto"/>
        </w:rPr>
      </w:pPr>
    </w:p>
    <w:p>
      <w:pPr>
        <w:ind w:left="720" w:right="50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tables present the results of operations for each of the Company’s reportable segments and reconciliation to net income (loss) attributable to Melco Resorts &amp; Entertainment Limited for the years ended December 31, 2025, 2024 and 2023.</w:t>
      </w:r>
    </w:p>
    <w:p>
      <w:pPr>
        <w:spacing w:after="0" w:line="166"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City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color w:val="auto"/>
              </w:rPr>
              <w:t>City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2"/>
                <w:szCs w:val="12"/>
                <w:color w:val="auto"/>
              </w:rPr>
              <w:t>Dreams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Year Ended December 31, 2025</w:t>
            </w:r>
          </w:p>
        </w:tc>
        <w:tc>
          <w:tcPr>
            <w:tcW w:w="23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2"/>
                <w:szCs w:val="12"/>
                <w:color w:val="auto"/>
              </w:rPr>
              <w:t>City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Altira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2"/>
                <w:szCs w:val="12"/>
                <w:color w:val="auto"/>
              </w:rPr>
              <w:t>Mocha</w:t>
            </w: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color w:val="auto"/>
              </w:rPr>
              <w:t>Dreams</w:t>
            </w:r>
          </w:p>
        </w:tc>
        <w:tc>
          <w:tcPr>
            <w:tcW w:w="60" w:type="dxa"/>
            <w:vAlign w:val="bottom"/>
          </w:tcPr>
          <w:p>
            <w:pPr>
              <w:spacing w:after="0"/>
              <w:rPr>
                <w:sz w:val="11"/>
                <w:szCs w:val="11"/>
                <w:color w:val="auto"/>
              </w:rPr>
            </w:pPr>
          </w:p>
        </w:tc>
        <w:tc>
          <w:tcPr>
            <w:tcW w:w="9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2"/>
                <w:szCs w:val="12"/>
                <w:color w:val="auto"/>
              </w:rPr>
              <w:t>Mediterranean</w:t>
            </w:r>
          </w:p>
        </w:tc>
        <w:tc>
          <w:tcPr>
            <w:tcW w:w="100" w:type="dxa"/>
            <w:vAlign w:val="bottom"/>
          </w:tcPr>
          <w:p>
            <w:pPr>
              <w:spacing w:after="0"/>
              <w:rPr>
                <w:sz w:val="11"/>
                <w:szCs w:val="11"/>
                <w:color w:val="auto"/>
              </w:rPr>
            </w:pPr>
          </w:p>
        </w:tc>
        <w:tc>
          <w:tcPr>
            <w:tcW w:w="62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2"/>
                <w:szCs w:val="12"/>
                <w:color w:val="auto"/>
              </w:rPr>
              <w:t>Other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60" w:type="dxa"/>
            <w:vAlign w:val="bottom"/>
            <w:tcBorders>
              <w:bottom w:val="single" w:sz="8" w:color="auto"/>
            </w:tcBorders>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2"/>
                <w:szCs w:val="12"/>
                <w:color w:val="auto"/>
              </w:rPr>
              <w:t>Dreams</w:t>
            </w:r>
          </w:p>
        </w:tc>
        <w:tc>
          <w:tcPr>
            <w:tcW w:w="82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Studio City</w:t>
            </w: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Macau</w:t>
            </w:r>
          </w:p>
        </w:tc>
        <w:tc>
          <w:tcPr>
            <w:tcW w:w="60" w:type="dxa"/>
            <w:vAlign w:val="bottom"/>
          </w:tcPr>
          <w:p>
            <w:pPr>
              <w:spacing w:after="0"/>
              <w:rPr>
                <w:sz w:val="13"/>
                <w:szCs w:val="13"/>
                <w:color w:val="auto"/>
              </w:rPr>
            </w:pPr>
          </w:p>
        </w:tc>
        <w:tc>
          <w:tcPr>
            <w:tcW w:w="660" w:type="dxa"/>
            <w:vAlign w:val="bottom"/>
            <w:gridSpan w:val="3"/>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and Other</w:t>
            </w:r>
          </w:p>
        </w:tc>
        <w:tc>
          <w:tcPr>
            <w:tcW w:w="60" w:type="dxa"/>
            <w:vAlign w:val="bottom"/>
          </w:tcPr>
          <w:p>
            <w:pPr>
              <w:spacing w:after="0"/>
              <w:rPr>
                <w:sz w:val="13"/>
                <w:szCs w:val="13"/>
                <w:color w:val="auto"/>
              </w:rPr>
            </w:pPr>
          </w:p>
        </w:tc>
        <w:tc>
          <w:tcPr>
            <w:tcW w:w="7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2"/>
                <w:szCs w:val="12"/>
                <w:color w:val="auto"/>
                <w:w w:val="99"/>
              </w:rPr>
              <w:t>Manila</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color w:val="auto"/>
              </w:rPr>
              <w:t>and Other</w:t>
            </w:r>
          </w:p>
        </w:tc>
        <w:tc>
          <w:tcPr>
            <w:tcW w:w="72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auto"/>
              </w:rPr>
              <w:t>Operations</w:t>
            </w:r>
          </w:p>
        </w:tc>
        <w:tc>
          <w:tcPr>
            <w:tcW w:w="80" w:type="dxa"/>
            <w:vAlign w:val="bottom"/>
          </w:tcPr>
          <w:p>
            <w:pPr>
              <w:spacing w:after="0"/>
              <w:rPr>
                <w:sz w:val="13"/>
                <w:szCs w:val="13"/>
                <w:color w:val="auto"/>
              </w:rPr>
            </w:pPr>
          </w:p>
        </w:tc>
        <w:tc>
          <w:tcPr>
            <w:tcW w:w="66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17"/>
        </w:trPr>
        <w:tc>
          <w:tcPr>
            <w:tcW w:w="386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Segment operating revenues: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Casino</w:t>
            </w:r>
          </w:p>
        </w:tc>
        <w:tc>
          <w:tcPr>
            <w:tcW w:w="2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2,370,998</w:t>
            </w:r>
          </w:p>
        </w:tc>
        <w:tc>
          <w:tcPr>
            <w:tcW w:w="18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w w:val="96"/>
              </w:rPr>
              <w:t>1,163,917</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86,605</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w w:val="96"/>
              </w:rPr>
              <w:t>101,983</w:t>
            </w:r>
          </w:p>
        </w:tc>
        <w:tc>
          <w:tcPr>
            <w:tcW w:w="76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$ 308,418</w:t>
            </w:r>
          </w:p>
        </w:tc>
        <w:tc>
          <w:tcPr>
            <w:tcW w:w="1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205,526</w:t>
            </w:r>
          </w:p>
        </w:tc>
        <w:tc>
          <w:tcPr>
            <w:tcW w:w="1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9,578</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96"/>
              </w:rPr>
              <w:t>4,247,025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Rooms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170,802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167,085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12,149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50,329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43,620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443,985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Food and beverage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105,741</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84,730</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8,106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4,748</w:t>
            </w:r>
          </w:p>
        </w:tc>
        <w:tc>
          <w:tcPr>
            <w:tcW w:w="76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43,369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42,645</w:t>
            </w: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1,379</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290,718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Entertainment, retail and 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89,234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62,630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319</w:t>
            </w:r>
          </w:p>
        </w:tc>
        <w:tc>
          <w:tcPr>
            <w:tcW w:w="76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8,988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8,379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171,269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Total segment operating revenues</w:t>
            </w:r>
            <w:r>
              <w:rPr>
                <w:rFonts w:ascii="Times New Roman" w:cs="Times New Roman" w:eastAsia="Times New Roman" w:hAnsi="Times New Roman"/>
                <w:sz w:val="8"/>
                <w:szCs w:val="8"/>
                <w:color w:val="auto"/>
              </w:rPr>
              <w:t>(1)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2,736,775</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1,478,362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107,022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107,050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411,104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300,170</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12,514</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5,152,997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Segment expenses: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Gaming taxes and license fees</w:t>
            </w:r>
            <w:r>
              <w:rPr>
                <w:rFonts w:ascii="Times New Roman" w:cs="Times New Roman" w:eastAsia="Times New Roman" w:hAnsi="Times New Roman"/>
                <w:sz w:val="8"/>
                <w:szCs w:val="8"/>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w w:val="97"/>
              </w:rPr>
              <w:t>(1,199,050)</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(553,156)</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(44,274)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(43,927)</w:t>
            </w:r>
          </w:p>
        </w:tc>
        <w:tc>
          <w:tcPr>
            <w:tcW w:w="760" w:type="dxa"/>
            <w:vAlign w:val="bottom"/>
            <w:gridSpan w:val="3"/>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(117,679)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(38,711)</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(2,422)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Employee benefits expenses</w:t>
            </w:r>
            <w:r>
              <w:rPr>
                <w:rFonts w:ascii="Times New Roman" w:cs="Times New Roman" w:eastAsia="Times New Roman" w:hAnsi="Times New Roman"/>
                <w:sz w:val="8"/>
                <w:szCs w:val="8"/>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(379,398)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(267,577)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(41,737)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(22,389)</w:t>
            </w:r>
          </w:p>
        </w:tc>
        <w:tc>
          <w:tcPr>
            <w:tcW w:w="760" w:type="dxa"/>
            <w:vAlign w:val="bottom"/>
            <w:gridSpan w:val="3"/>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(64,132)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(99,473)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(7,361)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8"/>
                <w:szCs w:val="8"/>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(336,193)</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(263,829)</w:t>
            </w:r>
          </w:p>
        </w:tc>
        <w:tc>
          <w:tcPr>
            <w:tcW w:w="80" w:type="dxa"/>
            <w:vAlign w:val="bottom"/>
          </w:tcPr>
          <w:p>
            <w:pPr>
              <w:spacing w:after="0"/>
              <w:rPr>
                <w:sz w:val="13"/>
                <w:szCs w:val="13"/>
                <w:color w:val="auto"/>
              </w:rPr>
            </w:pPr>
          </w:p>
        </w:tc>
        <w:tc>
          <w:tcPr>
            <w:tcW w:w="5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(25,064)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(18,566)</w:t>
            </w:r>
          </w:p>
        </w:tc>
        <w:tc>
          <w:tcPr>
            <w:tcW w:w="760" w:type="dxa"/>
            <w:vAlign w:val="bottom"/>
            <w:gridSpan w:val="3"/>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(96,505)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(93,760)</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(7,355)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Segment adjusted property EBITDA:</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Adjusted property EBITDA</w:t>
            </w:r>
          </w:p>
        </w:tc>
        <w:tc>
          <w:tcPr>
            <w:tcW w:w="2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822,134</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393,800</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(4,053)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22,168</w:t>
            </w:r>
          </w:p>
        </w:tc>
        <w:tc>
          <w:tcPr>
            <w:tcW w:w="76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$ 132,788</w:t>
            </w:r>
          </w:p>
        </w:tc>
        <w:tc>
          <w:tcPr>
            <w:tcW w:w="1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68,226</w:t>
            </w:r>
          </w:p>
        </w:tc>
        <w:tc>
          <w:tcPr>
            <w:tcW w:w="1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(4,624)</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96"/>
              </w:rPr>
              <w:t>1,430,439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Payments to the Philippine Parties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(37,181)</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Pre-opening costs</w:t>
            </w:r>
            <w:r>
              <w:rPr>
                <w:rFonts w:ascii="Times New Roman" w:cs="Times New Roman" w:eastAsia="Times New Roman" w:hAnsi="Times New Roman"/>
                <w:sz w:val="8"/>
                <w:szCs w:val="8"/>
                <w:color w:val="auto"/>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(46,390)</w:t>
            </w: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Development costs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(7,619)</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Amortization of land use rights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(19,970)</w:t>
            </w: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(523,592)</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Integrated resort and casino rent</w:t>
            </w:r>
            <w:r>
              <w:rPr>
                <w:rFonts w:ascii="Times New Roman" w:cs="Times New Roman" w:eastAsia="Times New Roman" w:hAnsi="Times New Roman"/>
                <w:sz w:val="8"/>
                <w:szCs w:val="8"/>
                <w:color w:val="auto"/>
              </w:rPr>
              <w:t>(6)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(12,714)</w:t>
            </w: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(29,270)</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Property charges and 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(39,481)</w:t>
            </w:r>
          </w:p>
        </w:tc>
        <w:tc>
          <w:tcPr>
            <w:tcW w:w="0" w:type="dxa"/>
            <w:vAlign w:val="bottom"/>
          </w:tcPr>
          <w:p>
            <w:pPr>
              <w:spacing w:after="0"/>
              <w:rPr>
                <w:sz w:val="1"/>
                <w:szCs w:val="1"/>
                <w:color w:val="auto"/>
              </w:rPr>
            </w:pPr>
          </w:p>
        </w:tc>
      </w:tr>
      <w:tr>
        <w:trPr>
          <w:trHeight w:val="150"/>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Corporate and Other expenses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(113,796)</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600,426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Non-operating income (expenses):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8,482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(464,904)</w:t>
            </w: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financing costs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(6,701)</w:t>
            </w: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Foreign exchange gains,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8,739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2,999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Total non-operating expenses,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(452,141)</w:t>
            </w:r>
          </w:p>
        </w:tc>
        <w:tc>
          <w:tcPr>
            <w:tcW w:w="0" w:type="dxa"/>
            <w:vAlign w:val="bottom"/>
          </w:tcPr>
          <w:p>
            <w:pPr>
              <w:spacing w:after="0"/>
              <w:rPr>
                <w:sz w:val="1"/>
                <w:szCs w:val="1"/>
                <w:color w:val="auto"/>
              </w:rPr>
            </w:pPr>
          </w:p>
        </w:tc>
      </w:tr>
      <w:tr>
        <w:trPr>
          <w:trHeight w:val="150"/>
        </w:trPr>
        <w:tc>
          <w:tcPr>
            <w:tcW w:w="38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Income before income tax</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148,285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(2,829)</w:t>
            </w:r>
          </w:p>
        </w:tc>
        <w:tc>
          <w:tcPr>
            <w:tcW w:w="0" w:type="dxa"/>
            <w:vAlign w:val="bottom"/>
          </w:tcPr>
          <w:p>
            <w:pPr>
              <w:spacing w:after="0"/>
              <w:rPr>
                <w:sz w:val="1"/>
                <w:szCs w:val="1"/>
                <w:color w:val="auto"/>
              </w:rPr>
            </w:pPr>
          </w:p>
        </w:tc>
      </w:tr>
      <w:tr>
        <w:trPr>
          <w:trHeight w:val="150"/>
        </w:trPr>
        <w:tc>
          <w:tcPr>
            <w:tcW w:w="38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145,456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39,589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income attributable to Melco Resorts &amp; Entertainment Limited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185,045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F-73</w:t>
      </w:r>
    </w:p>
    <w:p>
      <w:pPr>
        <w:sectPr>
          <w:pgSz w:w="11900" w:h="16838" w:orient="portrait"/>
          <w:cols w:equalWidth="0" w:num="1">
            <w:col w:w="10960"/>
          </w:cols>
          <w:pgMar w:left="320" w:top="472" w:right="6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22.</w:t>
        <w:tab/>
        <w:t>SEGMENT INFORMATION</w:t>
      </w:r>
      <w:r>
        <w:rPr>
          <w:rFonts w:ascii="Times New Roman" w:cs="Times New Roman" w:eastAsia="Times New Roman" w:hAnsi="Times New Roman"/>
          <w:sz w:val="17"/>
          <w:szCs w:val="17"/>
          <w:color w:val="auto"/>
        </w:rPr>
        <w:t xml:space="preserve"> - continued</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City of</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2"/>
                <w:szCs w:val="12"/>
                <w:color w:val="auto"/>
              </w:rPr>
              <w:t>City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2"/>
                <w:szCs w:val="12"/>
                <w:color w:val="auto"/>
              </w:rPr>
              <w:t>Dreams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Year Ended December 31, 2024</w:t>
            </w:r>
          </w:p>
        </w:tc>
        <w:tc>
          <w:tcPr>
            <w:tcW w:w="24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2"/>
                <w:szCs w:val="12"/>
                <w:color w:val="auto"/>
              </w:rPr>
              <w:t>City of</w:t>
            </w:r>
          </w:p>
        </w:tc>
        <w:tc>
          <w:tcPr>
            <w:tcW w:w="60" w:type="dxa"/>
            <w:vAlign w:val="bottom"/>
          </w:tcPr>
          <w:p>
            <w:pPr>
              <w:spacing w:after="0"/>
              <w:rPr>
                <w:sz w:val="11"/>
                <w:szCs w:val="11"/>
                <w:color w:val="auto"/>
              </w:rPr>
            </w:pPr>
          </w:p>
        </w:tc>
        <w:tc>
          <w:tcPr>
            <w:tcW w:w="6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2"/>
                <w:szCs w:val="12"/>
                <w:color w:val="auto"/>
              </w:rPr>
              <w:t>Studio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Altira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2"/>
                <w:szCs w:val="12"/>
                <w:color w:val="auto"/>
              </w:rPr>
              <w:t>Mocha</w:t>
            </w:r>
          </w:p>
        </w:tc>
        <w:tc>
          <w:tcPr>
            <w:tcW w:w="80" w:type="dxa"/>
            <w:vAlign w:val="bottom"/>
          </w:tcPr>
          <w:p>
            <w:pPr>
              <w:spacing w:after="0"/>
              <w:rPr>
                <w:sz w:val="11"/>
                <w:szCs w:val="11"/>
                <w:color w:val="auto"/>
              </w:rPr>
            </w:pPr>
          </w:p>
        </w:tc>
        <w:tc>
          <w:tcPr>
            <w:tcW w:w="6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2"/>
                <w:szCs w:val="12"/>
                <w:color w:val="auto"/>
              </w:rPr>
              <w:t>Dreams</w:t>
            </w:r>
          </w:p>
        </w:tc>
        <w:tc>
          <w:tcPr>
            <w:tcW w:w="60" w:type="dxa"/>
            <w:vAlign w:val="bottom"/>
          </w:tcPr>
          <w:p>
            <w:pPr>
              <w:spacing w:after="0"/>
              <w:rPr>
                <w:sz w:val="11"/>
                <w:szCs w:val="11"/>
                <w:color w:val="auto"/>
              </w:rPr>
            </w:pPr>
          </w:p>
        </w:tc>
        <w:tc>
          <w:tcPr>
            <w:tcW w:w="9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2"/>
                <w:szCs w:val="12"/>
                <w:color w:val="auto"/>
              </w:rPr>
              <w:t>Mediterranean</w:t>
            </w:r>
          </w:p>
        </w:tc>
        <w:tc>
          <w:tcPr>
            <w:tcW w:w="72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2"/>
                <w:szCs w:val="12"/>
                <w:color w:val="auto"/>
              </w:rPr>
              <w:t>Other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60" w:type="dxa"/>
            <w:vAlign w:val="bottom"/>
            <w:tcBorders>
              <w:bottom w:val="single" w:sz="8" w:color="auto"/>
            </w:tcBorders>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2"/>
                <w:szCs w:val="12"/>
                <w:color w:val="auto"/>
              </w:rPr>
              <w:t>Dreams</w:t>
            </w:r>
          </w:p>
        </w:tc>
        <w:tc>
          <w:tcPr>
            <w:tcW w:w="60" w:type="dxa"/>
            <w:vAlign w:val="bottom"/>
          </w:tcPr>
          <w:p>
            <w:pPr>
              <w:spacing w:after="0"/>
              <w:rPr>
                <w:sz w:val="13"/>
                <w:szCs w:val="13"/>
                <w:color w:val="auto"/>
              </w:rPr>
            </w:pPr>
          </w:p>
        </w:tc>
        <w:tc>
          <w:tcPr>
            <w:tcW w:w="68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2"/>
                <w:szCs w:val="12"/>
                <w:color w:val="auto"/>
              </w:rPr>
              <w:t>City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w w:val="97"/>
              </w:rPr>
              <w:t>Macau</w:t>
            </w:r>
          </w:p>
        </w:tc>
        <w:tc>
          <w:tcPr>
            <w:tcW w:w="80" w:type="dxa"/>
            <w:vAlign w:val="bottom"/>
          </w:tcPr>
          <w:p>
            <w:pPr>
              <w:spacing w:after="0"/>
              <w:rPr>
                <w:sz w:val="13"/>
                <w:szCs w:val="13"/>
                <w:color w:val="auto"/>
              </w:rPr>
            </w:pPr>
          </w:p>
        </w:tc>
        <w:tc>
          <w:tcPr>
            <w:tcW w:w="72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and Other</w:t>
            </w:r>
          </w:p>
        </w:tc>
        <w:tc>
          <w:tcPr>
            <w:tcW w:w="80" w:type="dxa"/>
            <w:vAlign w:val="bottom"/>
          </w:tcPr>
          <w:p>
            <w:pPr>
              <w:spacing w:after="0"/>
              <w:rPr>
                <w:sz w:val="13"/>
                <w:szCs w:val="13"/>
                <w:color w:val="auto"/>
              </w:rPr>
            </w:pPr>
          </w:p>
        </w:tc>
        <w:tc>
          <w:tcPr>
            <w:tcW w:w="62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2"/>
                <w:szCs w:val="12"/>
                <w:color w:val="auto"/>
                <w:w w:val="99"/>
              </w:rPr>
              <w:t>Manila</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color w:val="auto"/>
              </w:rPr>
              <w:t>and Other</w:t>
            </w:r>
          </w:p>
        </w:tc>
        <w:tc>
          <w:tcPr>
            <w:tcW w:w="72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auto"/>
              </w:rPr>
              <w:t>Operations</w:t>
            </w:r>
          </w:p>
        </w:tc>
        <w:tc>
          <w:tcPr>
            <w:tcW w:w="80" w:type="dxa"/>
            <w:vAlign w:val="bottom"/>
          </w:tcPr>
          <w:p>
            <w:pPr>
              <w:spacing w:after="0"/>
              <w:rPr>
                <w:sz w:val="13"/>
                <w:szCs w:val="13"/>
                <w:color w:val="auto"/>
              </w:rPr>
            </w:pPr>
          </w:p>
        </w:tc>
        <w:tc>
          <w:tcPr>
            <w:tcW w:w="66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17"/>
        </w:trPr>
        <w:tc>
          <w:tcPr>
            <w:tcW w:w="398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Segment operating revenues:</w:t>
            </w: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Casino</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1,957,079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w w:val="99"/>
              </w:rPr>
              <w:t>1,076,619</w:t>
            </w:r>
          </w:p>
        </w:tc>
        <w:tc>
          <w:tcPr>
            <w:tcW w:w="16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w w:val="96"/>
              </w:rPr>
              <w:t>104,686</w:t>
            </w:r>
          </w:p>
        </w:tc>
        <w:tc>
          <w:tcPr>
            <w:tcW w:w="1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92"/>
              </w:rPr>
              <w:t>117,632</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357,315</w:t>
            </w:r>
          </w:p>
        </w:tc>
        <w:tc>
          <w:tcPr>
            <w:tcW w:w="1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159,324</w:t>
            </w:r>
          </w:p>
        </w:tc>
        <w:tc>
          <w:tcPr>
            <w:tcW w:w="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96"/>
              </w:rPr>
              <w:t>3,772,655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Rooms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161,939</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159,926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11,770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53,494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35,436</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422,565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Food and beverage</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102,293</w:t>
            </w:r>
          </w:p>
        </w:tc>
        <w:tc>
          <w:tcPr>
            <w:tcW w:w="60" w:type="dxa"/>
            <w:vAlign w:val="bottom"/>
          </w:tcPr>
          <w:p>
            <w:pPr>
              <w:spacing w:after="0"/>
              <w:rPr>
                <w:sz w:val="12"/>
                <w:szCs w:val="12"/>
                <w:color w:val="auto"/>
              </w:rPr>
            </w:pPr>
          </w:p>
        </w:tc>
        <w:tc>
          <w:tcPr>
            <w:tcW w:w="68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83,881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8,507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4,736</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52,345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34,171</w:t>
            </w:r>
          </w:p>
        </w:tc>
        <w:tc>
          <w:tcPr>
            <w:tcW w:w="220" w:type="dxa"/>
            <w:vAlign w:val="bottom"/>
          </w:tcPr>
          <w:p>
            <w:pPr>
              <w:spacing w:after="0"/>
              <w:rPr>
                <w:sz w:val="12"/>
                <w:szCs w:val="12"/>
                <w:color w:val="auto"/>
              </w:rPr>
            </w:pPr>
          </w:p>
        </w:tc>
        <w:tc>
          <w:tcPr>
            <w:tcW w:w="5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285,933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Entertainment, retail and other</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60,945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69,919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9,183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5,646</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146,054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Total segment operating revenues</w:t>
            </w:r>
            <w:r>
              <w:rPr>
                <w:rFonts w:ascii="Times New Roman" w:cs="Times New Roman" w:eastAsia="Times New Roman" w:hAnsi="Times New Roman"/>
                <w:sz w:val="8"/>
                <w:szCs w:val="8"/>
                <w:color w:val="auto"/>
              </w:rPr>
              <w:t>(1)</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2,282,256</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9"/>
              </w:rPr>
              <w:t>1,390,345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125,096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2"/>
              </w:rPr>
              <w:t>122,596</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472,337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234,577</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4,627,207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Segment expenses: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Gaming taxes and license fees</w:t>
            </w:r>
            <w:r>
              <w:rPr>
                <w:rFonts w:ascii="Times New Roman" w:cs="Times New Roman" w:eastAsia="Times New Roman" w:hAnsi="Times New Roman"/>
                <w:sz w:val="8"/>
                <w:szCs w:val="8"/>
                <w:color w:val="auto"/>
              </w:rPr>
              <w:t>(2)</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w w:val="97"/>
              </w:rPr>
              <w:t>(1,019,075)</w:t>
            </w: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(526,250)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(52,834)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(50,959)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w w:val="94"/>
              </w:rPr>
              <w:t>(137,107)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(30,650)</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 </w:t>
            </w:r>
          </w:p>
        </w:tc>
        <w:tc>
          <w:tcPr>
            <w:tcW w:w="5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w w:val="82"/>
              </w:rPr>
              <w:t>  — </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Employee benefits expenses</w:t>
            </w:r>
            <w:r>
              <w:rPr>
                <w:rFonts w:ascii="Times New Roman" w:cs="Times New Roman" w:eastAsia="Times New Roman" w:hAnsi="Times New Roman"/>
                <w:sz w:val="8"/>
                <w:szCs w:val="8"/>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(326,737)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(253,104)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(45,170)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(24,257)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(62,314)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(78,484)</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8"/>
                <w:szCs w:val="8"/>
                <w:color w:val="auto"/>
              </w:rPr>
              <w:t>(4)</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(314,802)</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(269,752)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(29,014)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(20,406)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(91,858)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(74,897)</w:t>
            </w:r>
          </w:p>
        </w:tc>
        <w:tc>
          <w:tcPr>
            <w:tcW w:w="220" w:type="dxa"/>
            <w:vAlign w:val="bottom"/>
          </w:tcPr>
          <w:p>
            <w:pPr>
              <w:spacing w:after="0"/>
              <w:rPr>
                <w:sz w:val="13"/>
                <w:szCs w:val="13"/>
                <w:color w:val="auto"/>
              </w:rPr>
            </w:pPr>
          </w:p>
        </w:tc>
        <w:tc>
          <w:tcPr>
            <w:tcW w:w="5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Segment adjusted property EBITDA:</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Adjusted property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621,642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341,239</w:t>
            </w:r>
          </w:p>
        </w:tc>
        <w:tc>
          <w:tcPr>
            <w:tcW w:w="16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(1,922)</w:t>
            </w:r>
          </w:p>
        </w:tc>
        <w:tc>
          <w:tcPr>
            <w:tcW w:w="1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26,974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181,058</w:t>
            </w:r>
          </w:p>
        </w:tc>
        <w:tc>
          <w:tcPr>
            <w:tcW w:w="1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50,546</w:t>
            </w:r>
          </w:p>
        </w:tc>
        <w:tc>
          <w:tcPr>
            <w:tcW w:w="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96"/>
              </w:rPr>
              <w:t>1,219,342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Payments to the Philippine Parties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(41,939)</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Pre-opening costs</w:t>
            </w:r>
            <w:r>
              <w:rPr>
                <w:rFonts w:ascii="Times New Roman" w:cs="Times New Roman" w:eastAsia="Times New Roman" w:hAnsi="Times New Roman"/>
                <w:sz w:val="8"/>
                <w:szCs w:val="8"/>
                <w:color w:val="auto"/>
              </w:rPr>
              <w:t>(5)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(17,833)</w:t>
            </w: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Development costs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(5,433)</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Amortization of land use rights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(19,956)</w:t>
            </w: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(521,582)</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Integrated resort and casino rent</w:t>
            </w:r>
            <w:r>
              <w:rPr>
                <w:rFonts w:ascii="Times New Roman" w:cs="Times New Roman" w:eastAsia="Times New Roman" w:hAnsi="Times New Roman"/>
                <w:sz w:val="8"/>
                <w:szCs w:val="8"/>
                <w:color w:val="auto"/>
              </w:rPr>
              <w:t>(6)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(8,436)</w:t>
            </w: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(27,368)</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Property charges and other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(13,221)</w:t>
            </w:r>
          </w:p>
        </w:tc>
        <w:tc>
          <w:tcPr>
            <w:tcW w:w="0" w:type="dxa"/>
            <w:vAlign w:val="bottom"/>
          </w:tcPr>
          <w:p>
            <w:pPr>
              <w:spacing w:after="0"/>
              <w:rPr>
                <w:sz w:val="1"/>
                <w:szCs w:val="1"/>
                <w:color w:val="auto"/>
              </w:rPr>
            </w:pPr>
          </w:p>
        </w:tc>
      </w:tr>
      <w:tr>
        <w:trPr>
          <w:trHeight w:val="150"/>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Corporate and Other expenses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(78,947)</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Operating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484,627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Non-operating income (expenses):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15,766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(486,721)</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financing costs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Foreign exchange losses, net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(15,492)</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3,833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9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Total non-operating expenses, net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(490,976)</w:t>
            </w:r>
          </w:p>
        </w:tc>
        <w:tc>
          <w:tcPr>
            <w:tcW w:w="0" w:type="dxa"/>
            <w:vAlign w:val="bottom"/>
          </w:tcPr>
          <w:p>
            <w:pPr>
              <w:spacing w:after="0"/>
              <w:rPr>
                <w:sz w:val="1"/>
                <w:szCs w:val="1"/>
                <w:color w:val="auto"/>
              </w:rPr>
            </w:pPr>
          </w:p>
        </w:tc>
      </w:tr>
      <w:tr>
        <w:trPr>
          <w:trHeight w:val="150"/>
        </w:trPr>
        <w:tc>
          <w:tcPr>
            <w:tcW w:w="39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Loss before income tax</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(6,349)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(21,610)</w:t>
            </w:r>
          </w:p>
        </w:tc>
        <w:tc>
          <w:tcPr>
            <w:tcW w:w="0" w:type="dxa"/>
            <w:vAlign w:val="bottom"/>
          </w:tcPr>
          <w:p>
            <w:pPr>
              <w:spacing w:after="0"/>
              <w:rPr>
                <w:sz w:val="1"/>
                <w:szCs w:val="1"/>
                <w:color w:val="auto"/>
              </w:rPr>
            </w:pPr>
          </w:p>
        </w:tc>
      </w:tr>
      <w:tr>
        <w:trPr>
          <w:trHeight w:val="150"/>
        </w:trPr>
        <w:tc>
          <w:tcPr>
            <w:tcW w:w="39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(27,959)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71,502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income attributable to Melco Resorts &amp; Entertainment Limited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43,543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F-74</w:t>
      </w:r>
    </w:p>
    <w:p>
      <w:pPr>
        <w:sectPr>
          <w:pgSz w:w="11900" w:h="16838" w:orient="portrait"/>
          <w:cols w:equalWidth="0" w:num="1">
            <w:col w:w="10960"/>
          </w:cols>
          <w:pgMar w:left="320" w:top="472" w:right="6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22.</w:t>
        <w:tab/>
        <w:t>SEGMENT INFORMATION</w:t>
      </w:r>
      <w:r>
        <w:rPr>
          <w:rFonts w:ascii="Times New Roman" w:cs="Times New Roman" w:eastAsia="Times New Roman" w:hAnsi="Times New Roman"/>
          <w:sz w:val="17"/>
          <w:szCs w:val="17"/>
          <w:color w:val="auto"/>
        </w:rPr>
        <w:t xml:space="preserve"> - continued</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City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2"/>
                <w:szCs w:val="12"/>
                <w:color w:val="auto"/>
              </w:rPr>
              <w:t>City of</w:t>
            </w:r>
          </w:p>
        </w:tc>
        <w:tc>
          <w:tcPr>
            <w:tcW w:w="80" w:type="dxa"/>
            <w:vAlign w:val="bottom"/>
          </w:tcPr>
          <w:p>
            <w:pPr>
              <w:spacing w:after="0"/>
              <w:rPr>
                <w:sz w:val="11"/>
                <w:szCs w:val="11"/>
                <w:color w:val="auto"/>
              </w:rPr>
            </w:pPr>
          </w:p>
        </w:tc>
        <w:tc>
          <w:tcPr>
            <w:tcW w:w="8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2"/>
                <w:szCs w:val="12"/>
                <w:color w:val="auto"/>
              </w:rPr>
              <w:t>Dreams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Year Ended December 31, 2023</w:t>
            </w:r>
          </w:p>
        </w:tc>
        <w:tc>
          <w:tcPr>
            <w:tcW w:w="258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2"/>
                <w:szCs w:val="12"/>
                <w:color w:val="auto"/>
              </w:rPr>
              <w:t>City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2"/>
                <w:szCs w:val="12"/>
                <w:color w:val="auto"/>
              </w:rPr>
              <w:t>Studio</w:t>
            </w:r>
          </w:p>
        </w:tc>
        <w:tc>
          <w:tcPr>
            <w:tcW w:w="80" w:type="dxa"/>
            <w:vAlign w:val="bottom"/>
          </w:tcPr>
          <w:p>
            <w:pPr>
              <w:spacing w:after="0"/>
              <w:rPr>
                <w:sz w:val="11"/>
                <w:szCs w:val="11"/>
                <w:color w:val="auto"/>
              </w:rPr>
            </w:pPr>
          </w:p>
        </w:tc>
        <w:tc>
          <w:tcPr>
            <w:tcW w:w="64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2"/>
                <w:szCs w:val="12"/>
                <w:color w:val="auto"/>
              </w:rPr>
              <w:t>Altira</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2"/>
                <w:szCs w:val="12"/>
                <w:color w:val="auto"/>
              </w:rPr>
              <w:t>Mocha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2"/>
                <w:szCs w:val="12"/>
                <w:color w:val="auto"/>
              </w:rPr>
              <w:t>Dreams</w:t>
            </w:r>
          </w:p>
        </w:tc>
        <w:tc>
          <w:tcPr>
            <w:tcW w:w="9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2"/>
                <w:szCs w:val="12"/>
                <w:color w:val="auto"/>
              </w:rPr>
              <w:t>Mediterranean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60" w:type="dxa"/>
            <w:vAlign w:val="bottom"/>
            <w:tcBorders>
              <w:bottom w:val="single" w:sz="8" w:color="auto"/>
            </w:tcBorders>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Dreams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80"/>
              <w:spacing w:after="0" w:line="136" w:lineRule="exact"/>
              <w:rPr>
                <w:sz w:val="20"/>
                <w:szCs w:val="20"/>
                <w:color w:val="auto"/>
              </w:rPr>
            </w:pPr>
            <w:r>
              <w:rPr>
                <w:rFonts w:ascii="Times New Roman" w:cs="Times New Roman" w:eastAsia="Times New Roman" w:hAnsi="Times New Roman"/>
                <w:sz w:val="12"/>
                <w:szCs w:val="12"/>
                <w:color w:val="auto"/>
              </w:rPr>
              <w:t>City</w:t>
            </w:r>
          </w:p>
        </w:tc>
        <w:tc>
          <w:tcPr>
            <w:tcW w:w="80" w:type="dxa"/>
            <w:vAlign w:val="bottom"/>
          </w:tcPr>
          <w:p>
            <w:pPr>
              <w:spacing w:after="0"/>
              <w:rPr>
                <w:sz w:val="13"/>
                <w:szCs w:val="13"/>
                <w:color w:val="auto"/>
              </w:rPr>
            </w:pPr>
          </w:p>
        </w:tc>
        <w:tc>
          <w:tcPr>
            <w:tcW w:w="64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2"/>
                <w:szCs w:val="12"/>
                <w:color w:val="auto"/>
              </w:rPr>
              <w:t>Macau</w:t>
            </w:r>
          </w:p>
        </w:tc>
        <w:tc>
          <w:tcPr>
            <w:tcW w:w="660" w:type="dxa"/>
            <w:vAlign w:val="bottom"/>
            <w:gridSpan w:val="3"/>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and 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2"/>
                <w:szCs w:val="12"/>
                <w:color w:val="auto"/>
              </w:rPr>
              <w:t>Manila</w:t>
            </w:r>
          </w:p>
        </w:tc>
        <w:tc>
          <w:tcPr>
            <w:tcW w:w="80" w:type="dxa"/>
            <w:vAlign w:val="bottom"/>
          </w:tcPr>
          <w:p>
            <w:pPr>
              <w:spacing w:after="0"/>
              <w:rPr>
                <w:sz w:val="13"/>
                <w:szCs w:val="13"/>
                <w:color w:val="auto"/>
              </w:rPr>
            </w:pPr>
          </w:p>
        </w:tc>
        <w:tc>
          <w:tcPr>
            <w:tcW w:w="82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color w:val="auto"/>
              </w:rPr>
              <w:t>and Other</w:t>
            </w:r>
          </w:p>
        </w:tc>
        <w:tc>
          <w:tcPr>
            <w:tcW w:w="100" w:type="dxa"/>
            <w:vAlign w:val="bottom"/>
          </w:tcPr>
          <w:p>
            <w:pPr>
              <w:spacing w:after="0"/>
              <w:rPr>
                <w:sz w:val="13"/>
                <w:szCs w:val="13"/>
                <w:color w:val="auto"/>
              </w:rPr>
            </w:pPr>
          </w:p>
        </w:tc>
        <w:tc>
          <w:tcPr>
            <w:tcW w:w="680" w:type="dxa"/>
            <w:vAlign w:val="bottom"/>
            <w:gridSpan w:val="2"/>
          </w:tcPr>
          <w:p>
            <w:pPr>
              <w:jc w:val="right"/>
              <w:ind w:right="279"/>
              <w:spacing w:after="0" w:line="136"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17"/>
        </w:trPr>
        <w:tc>
          <w:tcPr>
            <w:tcW w:w="414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Segment operating revenues:</w:t>
            </w:r>
          </w:p>
        </w:tc>
        <w:tc>
          <w:tcPr>
            <w:tcW w:w="6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Casino</w:t>
            </w:r>
          </w:p>
        </w:tc>
        <w:tc>
          <w:tcPr>
            <w:tcW w:w="680" w:type="dxa"/>
            <w:vAlign w:val="bottom"/>
            <w:gridSpan w:val="2"/>
          </w:tcPr>
          <w:p>
            <w:pPr>
              <w:ind w:left="6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w w:val="96"/>
              </w:rPr>
              <w:t>1,649,551</w:t>
            </w:r>
          </w:p>
        </w:tc>
        <w:tc>
          <w:tcPr>
            <w:tcW w:w="16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714,680</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91,556</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w w:val="96"/>
              </w:rPr>
              <w:t>115,533</w:t>
            </w:r>
          </w:p>
        </w:tc>
        <w:tc>
          <w:tcPr>
            <w:tcW w:w="14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378,475</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127,517</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w w:val="99"/>
              </w:rPr>
              <w:t>3,077,312</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Rooms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144,147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111,351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10,975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57,652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14,099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338,224</w:t>
            </w: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Food and beverage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77,142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56,948</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8,194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1,990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50,459</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14,152</w:t>
            </w:r>
          </w:p>
        </w:tc>
        <w:tc>
          <w:tcPr>
            <w:tcW w:w="100" w:type="dxa"/>
            <w:vAlign w:val="bottom"/>
          </w:tcPr>
          <w:p>
            <w:pPr>
              <w:spacing w:after="0"/>
              <w:rPr>
                <w:sz w:val="12"/>
                <w:szCs w:val="12"/>
                <w:color w:val="auto"/>
              </w:rPr>
            </w:pPr>
          </w:p>
        </w:tc>
        <w:tc>
          <w:tcPr>
            <w:tcW w:w="68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208,885</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Entertainment, retail and other</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59,643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75,375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8,511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3,591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147,397</w:t>
            </w:r>
          </w:p>
        </w:tc>
        <w:tc>
          <w:tcPr>
            <w:tcW w:w="0" w:type="dxa"/>
            <w:vAlign w:val="bottom"/>
          </w:tcPr>
          <w:p>
            <w:pPr>
              <w:spacing w:after="0"/>
              <w:rPr>
                <w:sz w:val="1"/>
                <w:szCs w:val="1"/>
                <w:color w:val="auto"/>
              </w:rPr>
            </w:pPr>
          </w:p>
        </w:tc>
      </w:tr>
      <w:tr>
        <w:trPr>
          <w:trHeight w:val="150"/>
        </w:trPr>
        <w:tc>
          <w:tcPr>
            <w:tcW w:w="41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Total segment operating revenues</w:t>
            </w:r>
            <w:r>
              <w:rPr>
                <w:rFonts w:ascii="Times New Roman" w:cs="Times New Roman" w:eastAsia="Times New Roman" w:hAnsi="Times New Roman"/>
                <w:sz w:val="8"/>
                <w:szCs w:val="8"/>
                <w:color w:val="auto"/>
              </w:rPr>
              <w:t>(1)</w:t>
            </w:r>
          </w:p>
        </w:tc>
        <w:tc>
          <w:tcPr>
            <w:tcW w:w="6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1,930,483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958,354</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110,825</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117,700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60"/>
              <w:spacing w:after="0" w:line="150" w:lineRule="exact"/>
              <w:rPr>
                <w:sz w:val="20"/>
                <w:szCs w:val="20"/>
                <w:color w:val="auto"/>
              </w:rPr>
            </w:pPr>
            <w:r>
              <w:rPr>
                <w:rFonts w:ascii="Times New Roman" w:cs="Times New Roman" w:eastAsia="Times New Roman" w:hAnsi="Times New Roman"/>
                <w:sz w:val="14"/>
                <w:szCs w:val="14"/>
                <w:color w:val="auto"/>
                <w:w w:val="92"/>
              </w:rPr>
              <w:t>495,097</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159,359</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9"/>
              </w:rPr>
              <w:t>3,771,818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1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Segment expenses: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Gaming taxes and license fees</w:t>
            </w:r>
            <w:r>
              <w:rPr>
                <w:rFonts w:ascii="Times New Roman" w:cs="Times New Roman" w:eastAsia="Times New Roman" w:hAnsi="Times New Roman"/>
                <w:sz w:val="8"/>
                <w:szCs w:val="8"/>
                <w:color w:val="auto"/>
              </w:rPr>
              <w:t>(2)</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(864,529)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w w:val="94"/>
              </w:rPr>
              <w:t>(365,220)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(48,914)</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(49,137)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w w:val="98"/>
              </w:rPr>
              <w:t>(137,076)</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(24,879)</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Employee benefits expenses</w:t>
            </w:r>
            <w:r>
              <w:rPr>
                <w:rFonts w:ascii="Times New Roman" w:cs="Times New Roman" w:eastAsia="Times New Roman" w:hAnsi="Times New Roman"/>
                <w:sz w:val="8"/>
                <w:szCs w:val="8"/>
                <w:color w:val="auto"/>
              </w:rPr>
              <w:t>(3)</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(276,637)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w w:val="94"/>
              </w:rPr>
              <w:t>(195,510)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(43,192)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(22,599)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(61,176)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(54,009)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8"/>
                <w:szCs w:val="8"/>
                <w:color w:val="auto"/>
              </w:rPr>
              <w:t>(4)</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(213,004)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w w:val="94"/>
              </w:rPr>
              <w:t>(190,834)</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(19,996)</w:t>
            </w: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(18,678)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(91,393)</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(52,971)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Segment adjusted property EBITDA:</w:t>
            </w: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Adjusted property EBITDA</w:t>
            </w:r>
          </w:p>
        </w:tc>
        <w:tc>
          <w:tcPr>
            <w:tcW w:w="680" w:type="dxa"/>
            <w:vAlign w:val="bottom"/>
            <w:gridSpan w:val="2"/>
          </w:tcPr>
          <w:p>
            <w:pPr>
              <w:ind w:left="60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576,313</w:t>
            </w:r>
          </w:p>
        </w:tc>
        <w:tc>
          <w:tcPr>
            <w:tcW w:w="16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206,790</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(1,277)</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27,286</w:t>
            </w:r>
          </w:p>
        </w:tc>
        <w:tc>
          <w:tcPr>
            <w:tcW w:w="14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205,452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w w:val="99"/>
              </w:rPr>
              <w:t>1,042,064</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Other operating expenses:</w:t>
            </w: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Payments to the Philippine Parties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(42,451)</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Pre-opening costs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(43,994)</w:t>
            </w: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Development costs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Amortization of land use rights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(22,670)</w:t>
            </w: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(520,726)</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Integrated resort and casino rent</w:t>
            </w:r>
            <w:r>
              <w:rPr>
                <w:rFonts w:ascii="Times New Roman" w:cs="Times New Roman" w:eastAsia="Times New Roman" w:hAnsi="Times New Roman"/>
                <w:sz w:val="8"/>
                <w:szCs w:val="8"/>
                <w:color w:val="auto"/>
              </w:rPr>
              <w:t>(6)</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(1,911)</w:t>
            </w: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(35,473)</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Property charges and other</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(228,437)</w:t>
            </w:r>
          </w:p>
        </w:tc>
        <w:tc>
          <w:tcPr>
            <w:tcW w:w="0" w:type="dxa"/>
            <w:vAlign w:val="bottom"/>
          </w:tcPr>
          <w:p>
            <w:pPr>
              <w:spacing w:after="0"/>
              <w:rPr>
                <w:sz w:val="1"/>
                <w:szCs w:val="1"/>
                <w:color w:val="auto"/>
              </w:rPr>
            </w:pPr>
          </w:p>
        </w:tc>
      </w:tr>
      <w:tr>
        <w:trPr>
          <w:trHeight w:val="150"/>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Corporate and Other expenses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(80,241)</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Operating income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64,959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1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Non-operating income (expenses):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Interest income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23,305</w:t>
            </w: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(492,391)</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financing costs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(4,372)</w:t>
            </w:r>
          </w:p>
        </w:tc>
        <w:tc>
          <w:tcPr>
            <w:tcW w:w="0" w:type="dxa"/>
            <w:vAlign w:val="bottom"/>
          </w:tcPr>
          <w:p>
            <w:pPr>
              <w:spacing w:after="0"/>
              <w:rPr>
                <w:sz w:val="1"/>
                <w:szCs w:val="1"/>
                <w:color w:val="auto"/>
              </w:rPr>
            </w:pPr>
          </w:p>
        </w:tc>
      </w:tr>
      <w:tr>
        <w:trPr>
          <w:trHeight w:val="144"/>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Foreign exchange gains, net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Other income, net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150"/>
        </w:trPr>
        <w:tc>
          <w:tcPr>
            <w:tcW w:w="41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color w:val="auto"/>
              </w:rPr>
              <w:t>Gain on extinguishment of debt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Total non-operating expenses, net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(466,867)</w:t>
            </w:r>
          </w:p>
        </w:tc>
        <w:tc>
          <w:tcPr>
            <w:tcW w:w="0" w:type="dxa"/>
            <w:vAlign w:val="bottom"/>
          </w:tcPr>
          <w:p>
            <w:pPr>
              <w:spacing w:after="0"/>
              <w:rPr>
                <w:sz w:val="1"/>
                <w:szCs w:val="1"/>
                <w:color w:val="auto"/>
              </w:rPr>
            </w:pPr>
          </w:p>
        </w:tc>
      </w:tr>
      <w:tr>
        <w:trPr>
          <w:trHeight w:val="150"/>
        </w:trPr>
        <w:tc>
          <w:tcPr>
            <w:tcW w:w="41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Loss before income tax</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(401,908)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Income tax expense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(13,422)</w:t>
            </w:r>
          </w:p>
        </w:tc>
        <w:tc>
          <w:tcPr>
            <w:tcW w:w="0" w:type="dxa"/>
            <w:vAlign w:val="bottom"/>
          </w:tcPr>
          <w:p>
            <w:pPr>
              <w:spacing w:after="0"/>
              <w:rPr>
                <w:sz w:val="1"/>
                <w:szCs w:val="1"/>
                <w:color w:val="auto"/>
              </w:rPr>
            </w:pPr>
          </w:p>
        </w:tc>
      </w:tr>
      <w:tr>
        <w:trPr>
          <w:trHeight w:val="150"/>
        </w:trPr>
        <w:tc>
          <w:tcPr>
            <w:tcW w:w="41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(415,330)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4"/>
                <w:szCs w:val="14"/>
                <w:color w:val="auto"/>
              </w:rPr>
              <w:t>88,410</w:t>
            </w:r>
          </w:p>
        </w:tc>
        <w:tc>
          <w:tcPr>
            <w:tcW w:w="0" w:type="dxa"/>
            <w:vAlign w:val="bottom"/>
          </w:tcPr>
          <w:p>
            <w:pPr>
              <w:spacing w:after="0"/>
              <w:rPr>
                <w:sz w:val="1"/>
                <w:szCs w:val="1"/>
                <w:color w:val="auto"/>
              </w:rPr>
            </w:pPr>
          </w:p>
        </w:tc>
      </w:tr>
      <w:tr>
        <w:trPr>
          <w:trHeight w:val="150"/>
        </w:trPr>
        <w:tc>
          <w:tcPr>
            <w:tcW w:w="41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loss attributable to Melco Resorts &amp; Entertainment Limited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(326,920</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60" w:type="dxa"/>
            <w:vAlign w:val="bottom"/>
            <w:gridSpan w:val="4"/>
            <w:vMerge w:val="restart"/>
          </w:tcPr>
          <w:p>
            <w:pPr>
              <w:ind w:left="600"/>
              <w:spacing w:after="0"/>
              <w:rPr>
                <w:sz w:val="20"/>
                <w:szCs w:val="20"/>
                <w:color w:val="auto"/>
              </w:rPr>
            </w:pPr>
            <w:r>
              <w:rPr>
                <w:rFonts w:ascii="Times New Roman" w:cs="Times New Roman" w:eastAsia="Times New Roman" w:hAnsi="Times New Roman"/>
                <w:sz w:val="17"/>
                <w:szCs w:val="17"/>
                <w:color w:val="auto"/>
              </w:rPr>
              <w:t>F-75</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xml:space="preserve"> - continued</w:t>
      </w:r>
    </w:p>
    <w:p>
      <w:pPr>
        <w:spacing w:after="0" w:line="129" w:lineRule="exact"/>
        <w:rPr>
          <w:rFonts w:ascii="Times New Roman" w:cs="Times New Roman" w:eastAsia="Times New Roman" w:hAnsi="Times New Roman"/>
          <w:sz w:val="17"/>
          <w:szCs w:val="17"/>
          <w:b w:val="1"/>
          <w:bCs w:val="1"/>
          <w:color w:val="auto"/>
        </w:rPr>
      </w:pPr>
    </w:p>
    <w:p>
      <w:pPr>
        <w:jc w:val="both"/>
        <w:ind w:left="1120" w:right="100" w:hanging="410"/>
        <w:spacing w:after="0" w:line="233" w:lineRule="auto"/>
        <w:tabs>
          <w:tab w:leader="none" w:pos="1120"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the Corporate and Other category includes small charter flights and management services business during the years ended December 31, 2025, 2024 and 2023, which are insignificant and below the quantitative thresholds attributable to the operating segments, therefore are not included in the total for the reportable segment operating revenues. A reconciliation of segment operating revenues to total consolidated operating revenues is as follows:</w:t>
      </w:r>
    </w:p>
    <w:p>
      <w:pPr>
        <w:spacing w:after="0" w:line="66" w:lineRule="exact"/>
        <w:rPr>
          <w:rFonts w:ascii="Times New Roman" w:cs="Times New Roman" w:eastAsia="Times New Roman" w:hAnsi="Times New Roman"/>
          <w:sz w:val="14"/>
          <w:szCs w:val="14"/>
          <w:color w:val="auto"/>
        </w:rPr>
      </w:pP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Reconciliation of total operating revenues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color w:val="auto"/>
                <w:w w:val="96"/>
              </w:rPr>
              <w:t>Year Ended December 31,</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24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3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0"/>
              <w:spacing w:after="0" w:line="137" w:lineRule="exact"/>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0"/>
              <w:spacing w:after="0" w:line="137"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1"/>
                <w:szCs w:val="11"/>
                <w:color w:val="auto"/>
              </w:rPr>
            </w:pPr>
          </w:p>
        </w:tc>
      </w:tr>
      <w:tr>
        <w:trPr>
          <w:trHeight w:val="124"/>
        </w:trPr>
        <w:tc>
          <w:tcPr>
            <w:tcW w:w="20" w:type="dxa"/>
            <w:vAlign w:val="bottom"/>
          </w:tcPr>
          <w:p>
            <w:pPr>
              <w:spacing w:after="0"/>
              <w:rPr>
                <w:sz w:val="10"/>
                <w:szCs w:val="10"/>
                <w:color w:val="auto"/>
              </w:rPr>
            </w:pPr>
          </w:p>
        </w:tc>
        <w:tc>
          <w:tcPr>
            <w:tcW w:w="4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Segment operating revenues:</w:t>
            </w:r>
          </w:p>
        </w:tc>
        <w:tc>
          <w:tcPr>
            <w:tcW w:w="18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424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City of Dreams</w:t>
            </w:r>
          </w:p>
        </w:tc>
        <w:tc>
          <w:tcPr>
            <w:tcW w:w="25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$ 2,736,775</w:t>
            </w:r>
          </w:p>
        </w:tc>
        <w:tc>
          <w:tcPr>
            <w:tcW w:w="400" w:type="dxa"/>
            <w:vAlign w:val="bottom"/>
            <w:gridSpan w:val="3"/>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2,282,256</w:t>
            </w:r>
          </w:p>
        </w:tc>
        <w:tc>
          <w:tcPr>
            <w:tcW w:w="4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1,930,483</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2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Studio City</w:t>
            </w:r>
          </w:p>
        </w:tc>
        <w:tc>
          <w:tcPr>
            <w:tcW w:w="250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1,478,362</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1,390,345</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958,354</w:t>
            </w:r>
          </w:p>
        </w:tc>
        <w:tc>
          <w:tcPr>
            <w:tcW w:w="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24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Altira Macau</w:t>
            </w:r>
          </w:p>
        </w:tc>
        <w:tc>
          <w:tcPr>
            <w:tcW w:w="25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107,022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125,096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110,825</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2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Mocha and Other</w:t>
            </w:r>
          </w:p>
        </w:tc>
        <w:tc>
          <w:tcPr>
            <w:tcW w:w="250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107,050</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122,596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117,700</w:t>
            </w:r>
          </w:p>
        </w:tc>
        <w:tc>
          <w:tcPr>
            <w:tcW w:w="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24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City of Dreams Manila</w:t>
            </w:r>
          </w:p>
        </w:tc>
        <w:tc>
          <w:tcPr>
            <w:tcW w:w="25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411,104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472,337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495,097</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2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City of Dreams Mediterranean and Other</w:t>
            </w:r>
          </w:p>
        </w:tc>
        <w:tc>
          <w:tcPr>
            <w:tcW w:w="250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300,170</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234,577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159,359</w:t>
            </w:r>
          </w:p>
        </w:tc>
        <w:tc>
          <w:tcPr>
            <w:tcW w:w="40" w:type="dxa"/>
            <w:vAlign w:val="bottom"/>
            <w:shd w:val="clear" w:color="auto" w:fill="CCEEFF"/>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424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Other Operations</w:t>
            </w:r>
          </w:p>
        </w:tc>
        <w:tc>
          <w:tcPr>
            <w:tcW w:w="18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12,514</w:t>
            </w: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4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Total segment operating revenues</w:t>
            </w:r>
          </w:p>
        </w:tc>
        <w:tc>
          <w:tcPr>
            <w:tcW w:w="250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5,152,997</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4,627,207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3,771,818</w:t>
            </w:r>
          </w:p>
        </w:tc>
        <w:tc>
          <w:tcPr>
            <w:tcW w:w="40" w:type="dxa"/>
            <w:vAlign w:val="bottom"/>
            <w:shd w:val="clear" w:color="auto" w:fill="CCEEFF"/>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42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Revenues from Corporate and Other</w:t>
            </w:r>
          </w:p>
        </w:tc>
        <w:tc>
          <w:tcPr>
            <w:tcW w:w="18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10,302</w:t>
            </w: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11,006</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3,429</w:t>
            </w:r>
          </w:p>
        </w:tc>
        <w:tc>
          <w:tcPr>
            <w:tcW w:w="4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4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Total consolidated operating revenues</w:t>
            </w:r>
          </w:p>
        </w:tc>
        <w:tc>
          <w:tcPr>
            <w:tcW w:w="250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$ 5,163,299</w:t>
            </w:r>
          </w:p>
        </w:tc>
        <w:tc>
          <w:tcPr>
            <w:tcW w:w="400" w:type="dxa"/>
            <w:vAlign w:val="bottom"/>
            <w:gridSpan w:val="3"/>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w w:val="96"/>
              </w:rPr>
              <w:t>  4,638,213</w:t>
            </w:r>
          </w:p>
        </w:tc>
        <w:tc>
          <w:tcPr>
            <w:tcW w:w="4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w w:val="93"/>
              </w:rPr>
              <w:t>  3,775,247</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8" w:lineRule="exact"/>
        <w:rPr>
          <w:sz w:val="20"/>
          <w:szCs w:val="20"/>
          <w:color w:val="auto"/>
        </w:rPr>
      </w:pPr>
    </w:p>
    <w:p>
      <w:pPr>
        <w:ind w:left="1120" w:hanging="410"/>
        <w:spacing w:after="0"/>
        <w:tabs>
          <w:tab w:leader="none" w:pos="1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details of “Gaming taxes and license fees” are disclosed in Note 2(q) with certain amounts included in pre-opening costs.</w:t>
      </w:r>
    </w:p>
    <w:p>
      <w:pPr>
        <w:spacing w:after="0" w:line="100" w:lineRule="exact"/>
        <w:rPr>
          <w:rFonts w:ascii="Times New Roman" w:cs="Times New Roman" w:eastAsia="Times New Roman" w:hAnsi="Times New Roman"/>
          <w:sz w:val="14"/>
          <w:szCs w:val="14"/>
          <w:color w:val="auto"/>
        </w:rPr>
      </w:pPr>
    </w:p>
    <w:p>
      <w:pPr>
        <w:ind w:left="1120" w:right="60" w:hanging="410"/>
        <w:spacing w:after="0" w:line="233" w:lineRule="auto"/>
        <w:tabs>
          <w:tab w:leader="none" w:pos="1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benefits expenses” includes salaries, bonuses and incentives, benefits and allocated labor costs among segments. Certain amounts of “Employee benefits expenses” are included in Corporate and Other expenses, pre-opening costs, development costs, share-based compensation and property charges and other; and with certain amounts incurred during the construction and development stage of projects capitalized in property and equipment.</w:t>
      </w:r>
    </w:p>
    <w:p>
      <w:pPr>
        <w:spacing w:after="0" w:line="80" w:lineRule="exact"/>
        <w:rPr>
          <w:rFonts w:ascii="Times New Roman" w:cs="Times New Roman" w:eastAsia="Times New Roman" w:hAnsi="Times New Roman"/>
          <w:sz w:val="14"/>
          <w:szCs w:val="14"/>
          <w:color w:val="auto"/>
        </w:rPr>
      </w:pPr>
    </w:p>
    <w:p>
      <w:pPr>
        <w:ind w:left="1120" w:right="60" w:hanging="410"/>
        <w:spacing w:after="0" w:line="245" w:lineRule="auto"/>
        <w:tabs>
          <w:tab w:leader="none" w:pos="1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mainly include cost of inventories, advertising and promotions expenses, repair and maintenance expenses, utilities and fuel expenses and other gaming operation expenses.</w:t>
      </w:r>
    </w:p>
    <w:p>
      <w:pPr>
        <w:spacing w:after="0" w:line="76" w:lineRule="exact"/>
        <w:rPr>
          <w:rFonts w:ascii="Times New Roman" w:cs="Times New Roman" w:eastAsia="Times New Roman" w:hAnsi="Times New Roman"/>
          <w:sz w:val="14"/>
          <w:szCs w:val="14"/>
          <w:color w:val="auto"/>
        </w:rPr>
      </w:pPr>
    </w:p>
    <w:p>
      <w:pPr>
        <w:ind w:left="1120" w:hanging="410"/>
        <w:spacing w:after="0"/>
        <w:tabs>
          <w:tab w:leader="none" w:pos="1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of pre-opening costs are grouped and reported under the line item “Integrated resort and casino rent”.</w:t>
      </w:r>
    </w:p>
    <w:p>
      <w:pPr>
        <w:spacing w:after="0" w:line="100" w:lineRule="exact"/>
        <w:rPr>
          <w:rFonts w:ascii="Times New Roman" w:cs="Times New Roman" w:eastAsia="Times New Roman" w:hAnsi="Times New Roman"/>
          <w:sz w:val="14"/>
          <w:szCs w:val="14"/>
          <w:color w:val="auto"/>
        </w:rPr>
      </w:pPr>
    </w:p>
    <w:p>
      <w:pPr>
        <w:ind w:left="1120" w:hanging="410"/>
        <w:spacing w:after="0"/>
        <w:tabs>
          <w:tab w:leader="none" w:pos="1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“Integrated resort and casino rent” represents land rent and variable lease costs to Belle and casino rent to a subsidiary of John Keells.</w:t>
      </w:r>
    </w:p>
    <w:p>
      <w:pPr>
        <w:spacing w:after="0" w:line="91" w:lineRule="exact"/>
        <w:rPr>
          <w:sz w:val="20"/>
          <w:szCs w:val="20"/>
          <w:color w:val="auto"/>
        </w:rPr>
      </w:pPr>
    </w:p>
    <w:p>
      <w:pPr>
        <w:jc w:val="both"/>
        <w:ind w:left="720" w:right="320"/>
        <w:spacing w:after="0" w:line="295" w:lineRule="auto"/>
        <w:rPr>
          <w:sz w:val="20"/>
          <w:szCs w:val="20"/>
          <w:color w:val="auto"/>
        </w:rPr>
      </w:pPr>
      <w:r>
        <w:rPr>
          <w:rFonts w:ascii="Times New Roman" w:cs="Times New Roman" w:eastAsia="Times New Roman" w:hAnsi="Times New Roman"/>
          <w:sz w:val="17"/>
          <w:szCs w:val="17"/>
          <w:color w:val="auto"/>
        </w:rPr>
        <w:t>There was intersegment revenue charged by City of Dreams to Studio City of $55,016, $44,917 and $2,368 for the years ended December 31, 2025, 2024 and 2023, respectively. The Company accounts for intersegment sales and transfers as if the sales or transfers were to third parties.</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Company’s geographic information for long-lived assets and operating revenues are as follows:</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4"/>
        </w:trPr>
        <w:tc>
          <w:tcPr>
            <w:tcW w:w="3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December 31,</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316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r>
      <w:tr>
        <w:trPr>
          <w:trHeight w:val="20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5,224,203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5,522,756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5,752,786</w:t>
            </w:r>
          </w:p>
        </w:tc>
        <w:tc>
          <w:tcPr>
            <w:tcW w:w="60" w:type="dxa"/>
            <w:vAlign w:val="bottom"/>
            <w:shd w:val="clear" w:color="auto" w:fill="CCEEFF"/>
          </w:tcPr>
          <w:p>
            <w:pPr>
              <w:spacing w:after="0"/>
              <w:rPr>
                <w:sz w:val="17"/>
                <w:szCs w:val="17"/>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78,641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88,950</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118,495</w:t>
            </w: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618,678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586,753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663,633</w:t>
            </w:r>
          </w:p>
        </w:tc>
        <w:tc>
          <w:tcPr>
            <w:tcW w:w="60" w:type="dxa"/>
            <w:vAlign w:val="bottom"/>
            <w:shd w:val="clear" w:color="auto" w:fill="CCEEFF"/>
          </w:tcPr>
          <w:p>
            <w:pPr>
              <w:spacing w:after="0"/>
              <w:rPr>
                <w:sz w:val="18"/>
                <w:szCs w:val="18"/>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100,356</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30,452</w:t>
            </w:r>
          </w:p>
        </w:tc>
      </w:tr>
      <w:tr>
        <w:trPr>
          <w:trHeight w:val="26"/>
        </w:trPr>
        <w:tc>
          <w:tcPr>
            <w:tcW w:w="3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long-lived assets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6,073,825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9"/>
              </w:rPr>
              <w:t>  6,298,815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6,565,366</w:t>
            </w:r>
          </w:p>
        </w:tc>
      </w:tr>
      <w:tr>
        <w:trPr>
          <w:trHeight w:val="20"/>
        </w:trPr>
        <w:tc>
          <w:tcPr>
            <w:tcW w:w="3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160" w:type="dxa"/>
            <w:vAlign w:val="bottom"/>
          </w:tcPr>
          <w:p>
            <w:pPr>
              <w:spacing w:after="0"/>
              <w:rPr>
                <w:sz w:val="24"/>
                <w:szCs w:val="24"/>
                <w:color w:val="auto"/>
              </w:rPr>
            </w:pPr>
          </w:p>
        </w:tc>
        <w:tc>
          <w:tcPr>
            <w:tcW w:w="3820" w:type="dxa"/>
            <w:vAlign w:val="bottom"/>
            <w:gridSpan w:val="2"/>
          </w:tcPr>
          <w:p>
            <w:pPr>
              <w:jc w:val="right"/>
              <w:ind w:right="1833"/>
              <w:spacing w:after="0"/>
              <w:rPr>
                <w:sz w:val="20"/>
                <w:szCs w:val="20"/>
                <w:color w:val="auto"/>
              </w:rPr>
            </w:pPr>
            <w:r>
              <w:rPr>
                <w:rFonts w:ascii="Times New Roman" w:cs="Times New Roman" w:eastAsia="Times New Roman" w:hAnsi="Times New Roman"/>
                <w:sz w:val="17"/>
                <w:szCs w:val="17"/>
                <w:color w:val="auto"/>
              </w:rPr>
              <w:t>F-76</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Operating Revenues</w:t>
      </w:r>
    </w:p>
    <w:p>
      <w:pPr>
        <w:spacing w:after="0" w:line="251"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9"/>
          </w:tcPr>
          <w:p>
            <w:pPr>
              <w:ind w:left="60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68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r>
      <w:tr>
        <w:trPr>
          <w:trHeight w:val="202"/>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4,429,209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3,920,293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3,117,362</w:t>
            </w:r>
          </w:p>
        </w:tc>
        <w:tc>
          <w:tcPr>
            <w:tcW w:w="60" w:type="dxa"/>
            <w:vAlign w:val="bottom"/>
            <w:shd w:val="clear" w:color="auto" w:fill="CCEEFF"/>
          </w:tcPr>
          <w:p>
            <w:pPr>
              <w:spacing w:after="0"/>
              <w:rPr>
                <w:sz w:val="17"/>
                <w:szCs w:val="17"/>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411,104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472,337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495,097</w:t>
            </w:r>
          </w:p>
        </w:tc>
        <w:tc>
          <w:tcPr>
            <w:tcW w:w="60" w:type="dxa"/>
            <w:vAlign w:val="bottom"/>
          </w:tcPr>
          <w:p>
            <w:pPr>
              <w:spacing w:after="0"/>
              <w:rPr>
                <w:sz w:val="18"/>
                <w:szCs w:val="18"/>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Cyprus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300,170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234,577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159,359</w:t>
            </w:r>
          </w:p>
        </w:tc>
        <w:tc>
          <w:tcPr>
            <w:tcW w:w="60" w:type="dxa"/>
            <w:vAlign w:val="bottom"/>
            <w:shd w:val="clear" w:color="auto" w:fill="CCEEFF"/>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11,006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60" w:type="dxa"/>
            <w:vAlign w:val="bottom"/>
          </w:tcPr>
          <w:p>
            <w:pPr>
              <w:spacing w:after="0"/>
              <w:rPr>
                <w:sz w:val="18"/>
                <w:szCs w:val="18"/>
                <w:color w:val="auto"/>
              </w:rPr>
            </w:pPr>
          </w:p>
        </w:tc>
      </w:tr>
      <w:tr>
        <w:trPr>
          <w:trHeight w:val="26"/>
        </w:trPr>
        <w:tc>
          <w:tcPr>
            <w:tcW w:w="6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5,163,299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4,638,213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3,775,247</w:t>
            </w:r>
          </w:p>
        </w:tc>
        <w:tc>
          <w:tcPr>
            <w:tcW w:w="60" w:type="dxa"/>
            <w:vAlign w:val="bottom"/>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right="6020" w:hanging="428"/>
        <w:spacing w:after="0" w:line="386" w:lineRule="auto"/>
        <w:tabs>
          <w:tab w:leader="none" w:pos="712"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SHAREHOLDINGS OF SUBSIDIARIES The Philippine subsidiaries</w:t>
      </w:r>
    </w:p>
    <w:p>
      <w:pPr>
        <w:ind w:left="720" w:right="1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2025, no common share of MRP was purchased by the Company from the noncontrolling interests. During the years ended December 31, 2024 and 2023, the Company through its subsidiaries, purchased 11.816 and 10.111 common shares of MRP at a total consideration of PHP42,833 (equivalent to $743) and PHP36,651 (equivalent to $671) from the noncontrolling interests, which increased Melco Resorts’ shareholding in MRP and the Company recognized a decrease of $592 and $582 in Melco Resorts’ additional paid-in capital which reflected the adjustment to the carrying amount of the noncontrolling interest in MRP, respectively.</w:t>
      </w:r>
    </w:p>
    <w:p>
      <w:pPr>
        <w:spacing w:after="0" w:line="66"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retains its controlling financial interests in MRP before and after the above transactions.</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schedule below discloses the effects of changes in Melco Resorts’ ownership interest in MRP on its equity:</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460" w:type="dxa"/>
            <w:vAlign w:val="bottom"/>
          </w:tcPr>
          <w:p>
            <w:pPr>
              <w:spacing w:after="0"/>
              <w:rPr>
                <w:sz w:val="19"/>
                <w:szCs w:val="19"/>
                <w:color w:val="auto"/>
              </w:rPr>
            </w:pPr>
          </w:p>
        </w:tc>
        <w:tc>
          <w:tcPr>
            <w:tcW w:w="2780" w:type="dxa"/>
            <w:vAlign w:val="bottom"/>
            <w:gridSpan w:val="8"/>
          </w:tcPr>
          <w:p>
            <w:pPr>
              <w:ind w:left="42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7460" w:type="dxa"/>
            <w:vAlign w:val="bottom"/>
          </w:tcPr>
          <w:p>
            <w:pPr>
              <w:spacing w:after="0"/>
              <w:rPr>
                <w:sz w:val="17"/>
                <w:szCs w:val="17"/>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7"/>
                <w:szCs w:val="17"/>
                <w:color w:val="auto"/>
              </w:rPr>
            </w:pPr>
          </w:p>
        </w:tc>
      </w:tr>
      <w:tr>
        <w:trPr>
          <w:trHeight w:val="202"/>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Melco Resorts &amp; Entertainment Limited</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$185,045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43,543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 (326,920)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7"/>
                <w:szCs w:val="17"/>
                <w:color w:val="auto"/>
              </w:rPr>
              <w:t>Transfers to noncontrolling interests: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The Philippine subsidiaries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1"/>
        </w:trPr>
        <w:tc>
          <w:tcPr>
            <w:tcW w:w="7460" w:type="dxa"/>
            <w:vAlign w:val="bottom"/>
          </w:tcPr>
          <w:p>
            <w:pPr>
              <w:ind w:left="180"/>
              <w:spacing w:after="0" w:line="191" w:lineRule="exact"/>
              <w:rPr>
                <w:sz w:val="20"/>
                <w:szCs w:val="20"/>
                <w:color w:val="auto"/>
              </w:rPr>
            </w:pPr>
            <w:r>
              <w:rPr>
                <w:rFonts w:ascii="Times New Roman" w:cs="Times New Roman" w:eastAsia="Times New Roman" w:hAnsi="Times New Roman"/>
                <w:sz w:val="17"/>
                <w:szCs w:val="17"/>
                <w:color w:val="auto"/>
              </w:rPr>
              <w:t>Decrease in additional paid-in capital resulting from purchases of common shares of MRP from the</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(592)</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(582)</w:t>
            </w:r>
          </w:p>
        </w:tc>
      </w:tr>
      <w:tr>
        <w:trPr>
          <w:trHeight w:val="191"/>
        </w:trPr>
        <w:tc>
          <w:tcPr>
            <w:tcW w:w="7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Changes from net income (loss) attributable to Melco Resorts &amp; Entertainment Limited’s shareholders</w:t>
            </w: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transfers to noncontrolling interests</w:t>
            </w: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185,045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42,951</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(327,502)</w:t>
            </w:r>
          </w:p>
        </w:tc>
      </w:tr>
      <w:tr>
        <w:trPr>
          <w:trHeight w:val="20"/>
        </w:trPr>
        <w:tc>
          <w:tcPr>
            <w:tcW w:w="7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133" w:lineRule="exact"/>
        <w:rPr>
          <w:rFonts w:ascii="Times New Roman" w:cs="Times New Roman" w:eastAsia="Times New Roman" w:hAnsi="Times New Roman"/>
          <w:sz w:val="17"/>
          <w:szCs w:val="17"/>
          <w:b w:val="1"/>
          <w:bCs w:val="1"/>
          <w:color w:val="auto"/>
        </w:rPr>
      </w:pPr>
    </w:p>
    <w:p>
      <w:pPr>
        <w:ind w:left="1240" w:right="100" w:hanging="530"/>
        <w:spacing w:after="0" w:line="295" w:lineRule="auto"/>
        <w:tabs>
          <w:tab w:leader="none" w:pos="1240"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January 1, 2026 through March 6, 2026, 700,585 ADSs, equivalent to 2,101,755 ordinary shares were repurchased under the 2024 Share Repurchase Program for an aggregate consideration of $3,815.</w:t>
      </w:r>
    </w:p>
    <w:p>
      <w:pPr>
        <w:spacing w:after="0" w:line="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F-77</w:t>
      </w:r>
    </w:p>
    <w:p>
      <w:pPr>
        <w:sectPr>
          <w:pgSz w:w="11900" w:h="16838" w:orient="portrait"/>
          <w:cols w:equalWidth="0" w:num="1">
            <w:col w:w="10960"/>
          </w:cols>
          <w:pgMar w:left="320" w:top="472" w:right="6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2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1240" w:right="239" w:hanging="530"/>
        <w:spacing w:after="0" w:line="295" w:lineRule="auto"/>
        <w:tabs>
          <w:tab w:leader="none" w:pos="124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January 1, 2026 through March 6, 2026, the Company repaid a total outstanding principal amount of HK$467,000 (equivalent to $59,756) along with accrued interest under the MN1 2020 Revolving Facilities.</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F-78</w:t>
      </w:r>
    </w:p>
    <w:p>
      <w:pPr>
        <w:sectPr>
          <w:pgSz w:w="11900" w:h="16838" w:orient="portrait"/>
          <w:cols w:equalWidth="0" w:num="1">
            <w:col w:w="10139"/>
          </w:cols>
          <w:pgMar w:left="320" w:top="472"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FINANCIAL INFORMATION OF PARENT COMPANY</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6"/>
          </w:tcPr>
          <w:p>
            <w:pPr>
              <w:jc w:val="right"/>
              <w:ind w:right="742"/>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114,678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from affiliated companies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1,972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from subsidiaries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177,384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5,193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4,584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209,611</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Receivables from subsidiaries</w:t>
            </w:r>
          </w:p>
        </w:tc>
        <w:tc>
          <w:tcPr>
            <w:tcW w:w="1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675,124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884,735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DEFICIT</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6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4,473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2,811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payable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12,621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Payables to subsidiaries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265,990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249,130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272,729</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deficit in subsidiaries</w:t>
            </w:r>
          </w:p>
        </w:tc>
        <w:tc>
          <w:tcPr>
            <w:tcW w:w="1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423,453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Payables to subsidiaries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1,435,067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1,437,906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2,131,337</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deficit:</w:t>
            </w:r>
          </w:p>
        </w:tc>
        <w:tc>
          <w:tcPr>
            <w:tcW w:w="1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4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Ordinary shares, par value $0.01; 7,300,000,000 shares authorized;</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1,351,540,382 and 1,351,540,382 shares issued;</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1,172,055,466 and 1,259,138,299 shares outstanding, respectively</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13,515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Treasury shares, at cost; 179,484,916 and 92,402,083 shares, respectively</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(356,835)</w:t>
            </w:r>
          </w:p>
        </w:tc>
        <w:tc>
          <w:tcPr>
            <w:tcW w:w="100" w:type="dxa"/>
            <w:vAlign w:val="bottom"/>
          </w:tcPr>
          <w:p>
            <w:pPr>
              <w:spacing w:after="0"/>
              <w:rPr>
                <w:sz w:val="18"/>
                <w:szCs w:val="18"/>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(216,626)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2,988,714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2,985,730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(63,712)</w:t>
            </w:r>
          </w:p>
        </w:tc>
        <w:tc>
          <w:tcPr>
            <w:tcW w:w="100" w:type="dxa"/>
            <w:vAlign w:val="bottom"/>
          </w:tcPr>
          <w:p>
            <w:pPr>
              <w:spacing w:after="0"/>
              <w:rPr>
                <w:sz w:val="18"/>
                <w:szCs w:val="18"/>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(95,750)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losses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(3,828,284)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98"/>
              </w:rPr>
              <w:t>(4,013,329)</w:t>
            </w: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shareholders’ deficit</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(1,246,602</w:t>
            </w:r>
          </w:p>
        </w:tc>
        <w:tc>
          <w:tcPr>
            <w:tcW w:w="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(1,326,460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shareholders’ deficit</w:t>
            </w:r>
          </w:p>
        </w:tc>
        <w:tc>
          <w:tcPr>
            <w:tcW w:w="1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884,735</w:t>
            </w: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5140"/>
              <w:spacing w:after="0"/>
              <w:rPr>
                <w:sz w:val="20"/>
                <w:szCs w:val="20"/>
                <w:color w:val="auto"/>
              </w:rPr>
            </w:pPr>
            <w:r>
              <w:rPr>
                <w:rFonts w:ascii="Times New Roman" w:cs="Times New Roman" w:eastAsia="Times New Roman" w:hAnsi="Times New Roman"/>
                <w:sz w:val="17"/>
                <w:szCs w:val="17"/>
                <w:color w:val="auto"/>
              </w:rPr>
              <w:t>F-79</w:t>
            </w: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OPERATIONS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8"/>
          </w:tcPr>
          <w:p>
            <w:pPr>
              <w:jc w:val="right"/>
              <w:ind w:right="678"/>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3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21,015</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18,758</w:t>
            </w:r>
          </w:p>
        </w:tc>
        <w:tc>
          <w:tcPr>
            <w:tcW w:w="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84,130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(32,276)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(29,867)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(31,901)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(29,881)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(35,586)</w:t>
            </w: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(loss) income</w:t>
            </w:r>
          </w:p>
        </w:tc>
        <w:tc>
          <w:tcPr>
            <w:tcW w:w="3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(10,886)</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(11,123)</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Non-operating income (expenses):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48,286</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49,243</w:t>
            </w:r>
          </w:p>
        </w:tc>
        <w:tc>
          <w:tcPr>
            <w:tcW w:w="240" w:type="dxa"/>
            <w:vAlign w:val="bottom"/>
          </w:tcPr>
          <w:p>
            <w:pPr>
              <w:spacing w:after="0"/>
              <w:rPr>
                <w:sz w:val="18"/>
                <w:szCs w:val="18"/>
                <w:color w:val="auto"/>
              </w:rPr>
            </w:pP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4,991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(8,786)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(12,901)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gains (losses), net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933</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w:t>
            </w:r>
          </w:p>
        </w:tc>
        <w:tc>
          <w:tcPr>
            <w:tcW w:w="240" w:type="dxa"/>
            <w:vAlign w:val="bottom"/>
          </w:tcPr>
          <w:p>
            <w:pPr>
              <w:spacing w:after="0"/>
              <w:rPr>
                <w:sz w:val="18"/>
                <w:szCs w:val="18"/>
                <w:color w:val="auto"/>
              </w:rPr>
            </w:pP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7,174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7,302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of results of subsidiaries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11,657</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(358,767)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non-operating income (expenses), net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54,759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(364,344)</w:t>
            </w:r>
          </w:p>
        </w:tc>
        <w:tc>
          <w:tcPr>
            <w:tcW w:w="0" w:type="dxa"/>
            <w:vAlign w:val="bottom"/>
          </w:tcPr>
          <w:p>
            <w:pPr>
              <w:spacing w:after="0"/>
              <w:rPr>
                <w:sz w:val="1"/>
                <w:szCs w:val="1"/>
                <w:color w:val="auto"/>
              </w:rPr>
            </w:pPr>
          </w:p>
        </w:tc>
      </w:tr>
      <w:tr>
        <w:trPr>
          <w:trHeight w:val="215"/>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3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174,691</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43,636</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10,354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(11,120)</w:t>
            </w:r>
          </w:p>
        </w:tc>
        <w:tc>
          <w:tcPr>
            <w:tcW w:w="0" w:type="dxa"/>
            <w:vAlign w:val="bottom"/>
          </w:tcPr>
          <w:p>
            <w:pPr>
              <w:spacing w:after="0"/>
              <w:rPr>
                <w:sz w:val="1"/>
                <w:szCs w:val="1"/>
                <w:color w:val="auto"/>
              </w:rPr>
            </w:pPr>
          </w:p>
        </w:tc>
      </w:tr>
      <w:tr>
        <w:trPr>
          <w:trHeight w:val="215"/>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185,045</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43,543</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(326,920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5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F-80</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COMPREHENSIVE INCOME (LOSS)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06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185,045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43,543</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(326,920)</w:t>
            </w:r>
          </w:p>
        </w:tc>
        <w:tc>
          <w:tcPr>
            <w:tcW w:w="1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32,038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13,370</w:t>
            </w:r>
          </w:p>
        </w:tc>
      </w:tr>
      <w:tr>
        <w:trPr>
          <w:trHeight w:val="221"/>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13,370</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(313,550)</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8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F-81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CASH FLOWS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10"/>
          </w:tcPr>
          <w:p>
            <w:pPr>
              <w:jc w:val="right"/>
              <w:ind w:right="662"/>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6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2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w w:val="88"/>
              </w:rPr>
              <w:t>   89,956</w:t>
            </w:r>
          </w:p>
        </w:tc>
        <w:tc>
          <w:tcPr>
            <w:tcW w:w="11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auto"/>
              </w:rPr>
              <w:t>$ 198,077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70,894</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advances to subsidiaries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(19,659)</w:t>
            </w:r>
          </w:p>
        </w:tc>
        <w:tc>
          <w:tcPr>
            <w:tcW w:w="1140" w:type="dxa"/>
            <w:vAlign w:val="bottom"/>
            <w:gridSpan w:val="3"/>
          </w:tcPr>
          <w:p>
            <w:pPr>
              <w:jc w:val="right"/>
              <w:ind w:right="98"/>
              <w:spacing w:after="0"/>
              <w:rPr>
                <w:sz w:val="20"/>
                <w:szCs w:val="20"/>
                <w:color w:val="auto"/>
              </w:rPr>
            </w:pPr>
            <w:r>
              <w:rPr>
                <w:rFonts w:ascii="Times New Roman" w:cs="Times New Roman" w:eastAsia="Times New Roman" w:hAnsi="Times New Roman"/>
                <w:sz w:val="17"/>
                <w:szCs w:val="17"/>
                <w:color w:val="auto"/>
              </w:rPr>
              <w:t>(20,275)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w w:val="99"/>
              </w:rPr>
              <w:t>(528,794)</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advances repayment from subsidiaries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2,947</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7,823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75,041</w:t>
            </w:r>
          </w:p>
        </w:tc>
      </w:tr>
      <w:tr>
        <w:trPr>
          <w:trHeight w:val="209"/>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loan repayment from an affiliated company</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96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200,000</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transfer of intangible asset</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519,000</w:t>
            </w:r>
          </w:p>
        </w:tc>
      </w:tr>
      <w:tr>
        <w:trPr>
          <w:trHeight w:val="221"/>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265,247</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shares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(166,010)</w:t>
            </w:r>
          </w:p>
        </w:tc>
        <w:tc>
          <w:tcPr>
            <w:tcW w:w="1140" w:type="dxa"/>
            <w:vAlign w:val="bottom"/>
            <w:gridSpan w:val="3"/>
          </w:tcPr>
          <w:p>
            <w:pPr>
              <w:jc w:val="right"/>
              <w:ind w:right="98"/>
              <w:spacing w:after="0"/>
              <w:rPr>
                <w:sz w:val="20"/>
                <w:szCs w:val="20"/>
                <w:color w:val="auto"/>
              </w:rPr>
            </w:pPr>
            <w:r>
              <w:rPr>
                <w:rFonts w:ascii="Times New Roman" w:cs="Times New Roman" w:eastAsia="Times New Roman" w:hAnsi="Times New Roman"/>
                <w:sz w:val="17"/>
                <w:szCs w:val="17"/>
                <w:color w:val="auto"/>
              </w:rPr>
              <w:t>(112,292)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w w:val="99"/>
              </w:rPr>
              <w:t>(169,836)</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exercise of share options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226</w:t>
            </w:r>
          </w:p>
        </w:tc>
      </w:tr>
      <w:tr>
        <w:trPr>
          <w:trHeight w:val="209"/>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loans or advances from subsidiaries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96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158,000</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loans or advances from subsidiaries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(20,000)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99"/>
              </w:rPr>
              <w:t>(270,593)</w:t>
            </w:r>
          </w:p>
        </w:tc>
      </w:tr>
      <w:tr>
        <w:trPr>
          <w:trHeight w:val="221"/>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(165,328)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(132,292</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(282,203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increase in cash and cash equivalents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53,938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114,678</w:t>
            </w:r>
          </w:p>
        </w:tc>
        <w:tc>
          <w:tcPr>
            <w:tcW w:w="220" w:type="dxa"/>
            <w:vAlign w:val="bottom"/>
          </w:tcPr>
          <w:p>
            <w:pPr>
              <w:spacing w:after="0"/>
              <w:rPr>
                <w:sz w:val="18"/>
                <w:szCs w:val="18"/>
                <w:color w:val="auto"/>
              </w:rPr>
            </w:pPr>
          </w:p>
        </w:tc>
        <w:tc>
          <w:tcPr>
            <w:tcW w:w="11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auto"/>
              </w:rPr>
              <w:t>61,345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7,407</w:t>
            </w: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28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$ 114,678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20" w:type="dxa"/>
            <w:vAlign w:val="bottom"/>
            <w:gridSpan w:val="2"/>
          </w:tcPr>
          <w:p>
            <w:pPr>
              <w:jc w:val="right"/>
              <w:ind w:right="2053"/>
              <w:spacing w:after="0"/>
              <w:rPr>
                <w:sz w:val="20"/>
                <w:szCs w:val="20"/>
                <w:color w:val="auto"/>
              </w:rPr>
            </w:pPr>
            <w:r>
              <w:rPr>
                <w:rFonts w:ascii="Times New Roman" w:cs="Times New Roman" w:eastAsia="Times New Roman" w:hAnsi="Times New Roman"/>
                <w:sz w:val="17"/>
                <w:szCs w:val="17"/>
                <w:color w:val="auto"/>
              </w:rPr>
              <w:t>F-82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NOTES TO FINANCIAL STATEMENT SCHEDULE 1 (In thousands)</w:t>
      </w:r>
    </w:p>
    <w:p>
      <w:pPr>
        <w:spacing w:after="0" w:line="200" w:lineRule="exact"/>
        <w:rPr>
          <w:sz w:val="20"/>
          <w:szCs w:val="20"/>
          <w:color w:val="auto"/>
        </w:rPr>
      </w:pPr>
    </w:p>
    <w:p>
      <w:pPr>
        <w:spacing w:after="0" w:line="204" w:lineRule="exact"/>
        <w:rPr>
          <w:sz w:val="20"/>
          <w:szCs w:val="20"/>
          <w:color w:val="auto"/>
        </w:rPr>
      </w:pPr>
    </w:p>
    <w:p>
      <w:pPr>
        <w:ind w:left="720" w:right="80" w:hanging="428"/>
        <w:spacing w:after="0" w:line="260" w:lineRule="auto"/>
        <w:tabs>
          <w:tab w:leader="none" w:pos="72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2025, approximately $584,000 of the restricted net assets were not available for distribution and as such, the condensed financial information of Melco Resorts has been presented for the years ended December 31, 2025, 2024 and 2023. Melco Resorts received cash dividends of</w:t>
      </w:r>
    </w:p>
    <w:p>
      <w:pPr>
        <w:spacing w:after="0" w:line="2"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$20,035, $121,000 and nil from its subsidiary during the years ended December 31, 2025, 2024 and 2023, respectively.</w:t>
      </w:r>
    </w:p>
    <w:p>
      <w:pPr>
        <w:spacing w:after="0" w:line="11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Basis of Presentation</w:t>
      </w:r>
    </w:p>
    <w:p>
      <w:pPr>
        <w:spacing w:after="0" w:line="118" w:lineRule="exact"/>
        <w:rPr>
          <w:rFonts w:ascii="Times New Roman" w:cs="Times New Roman" w:eastAsia="Times New Roman" w:hAnsi="Times New Roman"/>
          <w:sz w:val="17"/>
          <w:szCs w:val="17"/>
          <w:color w:val="auto"/>
        </w:rPr>
      </w:pPr>
    </w:p>
    <w:p>
      <w:pPr>
        <w:ind w:left="7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condensed financial information has been prepared using the same accounting policies as set out in Melco Resorts’ consolidated financial statements except that the parent company has used the equity method to account for its investments in subsidiaries. For the parent company, the Company records its investments in subsidiaries under the equity method of accounting as prescribed in Accounting Standards Codification 323, Investments-Equity Method and Joint Ventures. Such investments are presented on the Condensed Balance Sheets as “Investments in subsidiaries” or “Investments deficit in subsidiaries” and the subsidiaries’ profit or loss as ‘‘Share of results of subsidiaries” on the Condensed Statements of Operations. Ordinarily,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1,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F-83</w:t>
      </w:r>
    </w:p>
    <w:p>
      <w:pPr>
        <w:sectPr>
          <w:pgSz w:w="11900" w:h="16838" w:orient="portrait"/>
          <w:cols w:equalWidth="0" w:num="1">
            <w:col w:w="10960"/>
          </w:cols>
          <w:pgMar w:left="320" w:top="472" w:right="61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MELCO RESORTS FINANCE LIMITED</w:t>
      </w:r>
    </w:p>
    <w:p>
      <w:pPr>
        <w:spacing w:after="0" w:line="20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as Company</w:t>
      </w:r>
    </w:p>
    <w:p>
      <w:pPr>
        <w:spacing w:after="0" w:line="2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6.500%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237490</wp:posOffset>
            </wp:positionV>
            <wp:extent cx="14274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September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244475</wp:posOffset>
            </wp:positionV>
            <wp:extent cx="14274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and</w:t>
      </w:r>
    </w:p>
    <w:p>
      <w:pPr>
        <w:spacing w:after="0" w:line="22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as Trustee, Paying Agent, Registrar and Transfer Agent</w:t>
      </w:r>
    </w:p>
    <w:p>
      <w:pPr>
        <w:sectPr>
          <w:pgSz w:w="11900" w:h="16838" w:orient="portrait"/>
          <w:cols w:equalWidth="0" w:num="1">
            <w:col w:w="9840"/>
          </w:cols>
          <w:pgMar w:left="1440" w:top="119" w:right="61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7380" w:type="dxa"/>
            <w:vAlign w:val="bottom"/>
          </w:tcPr>
          <w:p>
            <w:pPr>
              <w:ind w:left="33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100" w:type="dxa"/>
            <w:vAlign w:val="bottom"/>
          </w:tcPr>
          <w:p>
            <w:pPr>
              <w:spacing w:after="0"/>
              <w:rPr>
                <w:sz w:val="24"/>
                <w:szCs w:val="24"/>
                <w:color w:val="auto"/>
              </w:rPr>
            </w:pPr>
          </w:p>
        </w:tc>
        <w:tc>
          <w:tcPr>
            <w:tcW w:w="7380" w:type="dxa"/>
            <w:vAlign w:val="bottom"/>
            <w:vMerge w:val="restart"/>
          </w:tcPr>
          <w:p>
            <w:pPr>
              <w:jc w:val="center"/>
              <w:ind w:left="933"/>
              <w:spacing w:after="0"/>
              <w:rPr>
                <w:sz w:val="20"/>
                <w:szCs w:val="20"/>
                <w:color w:val="auto"/>
              </w:rPr>
            </w:pPr>
            <w:r>
              <w:rPr>
                <w:rFonts w:ascii="Times New Roman" w:cs="Times New Roman" w:eastAsia="Times New Roman" w:hAnsi="Times New Roman"/>
                <w:sz w:val="17"/>
                <w:szCs w:val="17"/>
                <w:color w:val="auto"/>
                <w:w w:val="99"/>
              </w:rPr>
              <w:t>ARTICLE 1</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38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738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DEFINITIONS</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1.01</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1.02</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1.03</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Rules of Construction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738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w w:val="99"/>
              </w:rPr>
              <w:t>ARTICLE 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73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THE NOTES</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2.01</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Form and Dating</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2.02</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Execution and Authentication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2.03</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Registrar and Paying Agent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2.04</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Paying Agent to Hold Money in Trust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2.05</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Holder Lists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2.06</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Transfer and Exchange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2.07</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Replacement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2.08</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Outstanding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2.09</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Treasury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2.10</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Temporary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2.11</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Cancellation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2.12</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Defaulted Interest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2.13</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Additional Amounts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2.14</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Agents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738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w w:val="99"/>
              </w:rPr>
              <w:t>ARTICLE 3</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738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REDEMPTION AND PREPAYMENT</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3.01</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Notices to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3.02</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Selection of Notes to Be Redeemed or Purchased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3.03</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Notice of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3.04</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Effect of Notice of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3.05</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 of Redemption or Purchase Price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3.06</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Notes Redeemed or Purchased in Part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3.07</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Optional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3.08</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Mandatory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3.09</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Redemption for Taxation Reasons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3.10</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Gaming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738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w w:val="99"/>
              </w:rPr>
              <w:t>ARTICLE 4</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738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COVENANTS</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4.01</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 of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4.02</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Maintenance of Office or Agency</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4.03</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Reports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4.04</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Compliance Certificate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4.05</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4.06</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Stay, Extension and Usury Laws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4.07</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Corporate Existence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4.08</w:t>
            </w:r>
          </w:p>
        </w:tc>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Offer to Repurchase upon Change of Control</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600"/>
          </w:cols>
          <w:pgMar w:left="620" w:top="263" w:right="67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4.09</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4.10</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Special Put Option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96"/>
        </w:trPr>
        <w:tc>
          <w:tcPr>
            <w:tcW w:w="110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ARTICLE 5</w:t>
            </w:r>
          </w:p>
        </w:tc>
        <w:tc>
          <w:tcPr>
            <w:tcW w:w="1100" w:type="dxa"/>
            <w:vAlign w:val="bottom"/>
          </w:tcPr>
          <w:p>
            <w:pPr>
              <w:spacing w:after="0"/>
              <w:rPr>
                <w:sz w:val="24"/>
                <w:szCs w:val="24"/>
                <w:color w:val="auto"/>
              </w:rPr>
            </w:pPr>
          </w:p>
        </w:tc>
      </w:tr>
      <w:tr>
        <w:trPr>
          <w:trHeight w:val="227"/>
        </w:trPr>
        <w:tc>
          <w:tcPr>
            <w:tcW w:w="1100" w:type="dxa"/>
            <w:vAlign w:val="bottom"/>
          </w:tcPr>
          <w:p>
            <w:pPr>
              <w:spacing w:after="0"/>
              <w:rPr>
                <w:sz w:val="19"/>
                <w:szCs w:val="19"/>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SUCCESSORS</w:t>
            </w:r>
          </w:p>
        </w:tc>
        <w:tc>
          <w:tcPr>
            <w:tcW w:w="1100" w:type="dxa"/>
            <w:vAlign w:val="bottom"/>
          </w:tcPr>
          <w:p>
            <w:pPr>
              <w:spacing w:after="0"/>
              <w:rPr>
                <w:sz w:val="19"/>
                <w:szCs w:val="19"/>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5.01</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Merger, Consolidation, or Sale of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5.02</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Successor Corporation Substituted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96"/>
        </w:trPr>
        <w:tc>
          <w:tcPr>
            <w:tcW w:w="110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ARTICLE 6</w:t>
            </w:r>
          </w:p>
        </w:tc>
        <w:tc>
          <w:tcPr>
            <w:tcW w:w="1100" w:type="dxa"/>
            <w:vAlign w:val="bottom"/>
          </w:tcPr>
          <w:p>
            <w:pPr>
              <w:spacing w:after="0"/>
              <w:rPr>
                <w:sz w:val="24"/>
                <w:szCs w:val="24"/>
                <w:color w:val="auto"/>
              </w:rPr>
            </w:pPr>
          </w:p>
        </w:tc>
      </w:tr>
      <w:tr>
        <w:trPr>
          <w:trHeight w:val="227"/>
        </w:trPr>
        <w:tc>
          <w:tcPr>
            <w:tcW w:w="1100" w:type="dxa"/>
            <w:vAlign w:val="bottom"/>
          </w:tcPr>
          <w:p>
            <w:pPr>
              <w:spacing w:after="0"/>
              <w:rPr>
                <w:sz w:val="19"/>
                <w:szCs w:val="19"/>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DEFAULTS AND REMEDIES</w:t>
            </w:r>
          </w:p>
        </w:tc>
        <w:tc>
          <w:tcPr>
            <w:tcW w:w="1100" w:type="dxa"/>
            <w:vAlign w:val="bottom"/>
          </w:tcPr>
          <w:p>
            <w:pPr>
              <w:spacing w:after="0"/>
              <w:rPr>
                <w:sz w:val="19"/>
                <w:szCs w:val="19"/>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6.01</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Events of Default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6.02</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Acceleration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6.03</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Remedies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6.04</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Waiver of Past Defaults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6.05</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Control by Majority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6.06</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Limitation on Suits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6.07</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Rights of Holders to Receive Payment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6.08</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Collection Suit by 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6.09</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Trustee May File Proofs of Claim</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6.10</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Priorities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6.11</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Undertaking for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96"/>
        </w:trPr>
        <w:tc>
          <w:tcPr>
            <w:tcW w:w="110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ARTICLE 7</w:t>
            </w:r>
          </w:p>
        </w:tc>
        <w:tc>
          <w:tcPr>
            <w:tcW w:w="1100" w:type="dxa"/>
            <w:vAlign w:val="bottom"/>
          </w:tcPr>
          <w:p>
            <w:pPr>
              <w:spacing w:after="0"/>
              <w:rPr>
                <w:sz w:val="24"/>
                <w:szCs w:val="24"/>
                <w:color w:val="auto"/>
              </w:rPr>
            </w:pPr>
          </w:p>
        </w:tc>
      </w:tr>
      <w:tr>
        <w:trPr>
          <w:trHeight w:val="227"/>
        </w:trPr>
        <w:tc>
          <w:tcPr>
            <w:tcW w:w="1100" w:type="dxa"/>
            <w:vAlign w:val="bottom"/>
          </w:tcPr>
          <w:p>
            <w:pPr>
              <w:spacing w:after="0"/>
              <w:rPr>
                <w:sz w:val="19"/>
                <w:szCs w:val="19"/>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TRUSTEE</w:t>
            </w:r>
          </w:p>
        </w:tc>
        <w:tc>
          <w:tcPr>
            <w:tcW w:w="1100" w:type="dxa"/>
            <w:vAlign w:val="bottom"/>
          </w:tcPr>
          <w:p>
            <w:pPr>
              <w:spacing w:after="0"/>
              <w:rPr>
                <w:sz w:val="19"/>
                <w:szCs w:val="19"/>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7.01</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Duties of 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7.02</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Rights of 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7.03</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[Intentionally Omitted.]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7.04</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Individual Rights of 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7.05</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Trustee’s Disclaimer</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7.06</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Notice of Defaults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7.07</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[Intentionally Omitted.]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7.08</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Compensation and Indemnity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7.09</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Replacement of 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7.10</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Successor Trustee by Merger, etc</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7.11</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Eligibility; Disqualification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7.12</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Appointment of Co-Trustee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7.13</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[Intentionally Omitted]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7.14</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Resignation of Agents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7.15</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Rights of Trustee in Other Roles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96"/>
        </w:trPr>
        <w:tc>
          <w:tcPr>
            <w:tcW w:w="110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ARTICLE 8</w:t>
            </w:r>
          </w:p>
        </w:tc>
        <w:tc>
          <w:tcPr>
            <w:tcW w:w="1100" w:type="dxa"/>
            <w:vAlign w:val="bottom"/>
          </w:tcPr>
          <w:p>
            <w:pPr>
              <w:spacing w:after="0"/>
              <w:rPr>
                <w:sz w:val="24"/>
                <w:szCs w:val="24"/>
                <w:color w:val="auto"/>
              </w:rPr>
            </w:pPr>
          </w:p>
        </w:tc>
      </w:tr>
      <w:tr>
        <w:trPr>
          <w:trHeight w:val="227"/>
        </w:trPr>
        <w:tc>
          <w:tcPr>
            <w:tcW w:w="1100" w:type="dxa"/>
            <w:vAlign w:val="bottom"/>
          </w:tcPr>
          <w:p>
            <w:pPr>
              <w:spacing w:after="0"/>
              <w:rPr>
                <w:sz w:val="19"/>
                <w:szCs w:val="19"/>
                <w:color w:val="auto"/>
              </w:rPr>
            </w:pPr>
          </w:p>
        </w:tc>
        <w:tc>
          <w:tcPr>
            <w:tcW w:w="8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LEGAL DEFEASANCE AND COVENANT DEFEASANCE</w:t>
            </w:r>
          </w:p>
        </w:tc>
        <w:tc>
          <w:tcPr>
            <w:tcW w:w="1100" w:type="dxa"/>
            <w:vAlign w:val="bottom"/>
          </w:tcPr>
          <w:p>
            <w:pPr>
              <w:spacing w:after="0"/>
              <w:rPr>
                <w:sz w:val="19"/>
                <w:szCs w:val="19"/>
                <w:color w:val="auto"/>
              </w:rPr>
            </w:pPr>
          </w:p>
        </w:tc>
      </w:tr>
      <w:tr>
        <w:trPr>
          <w:trHeight w:val="2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8.01</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Option to Effect Legal Defeasance or Covenant Defeasance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8.02</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Legal Defeasance and Discharge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8.03</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Covenant Defeasance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8.04</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Conditions to Legal or Covenant Defeasance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8.05</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Deposited Money and U.S. Government Obligations to be Held in Trust; Other Miscellaneous Provisions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8.06</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Repayment to Company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Section 8.07</w:t>
            </w:r>
          </w:p>
        </w:tc>
        <w:tc>
          <w:tcPr>
            <w:tcW w:w="8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Reinstatement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600"/>
          </w:cols>
          <w:pgMar w:left="620" w:top="248" w:right="67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7480" w:type="dxa"/>
            <w:vAlign w:val="bottom"/>
            <w:vMerge w:val="restart"/>
          </w:tcPr>
          <w:p>
            <w:pPr>
              <w:jc w:val="center"/>
              <w:ind w:left="633"/>
              <w:spacing w:after="0"/>
              <w:rPr>
                <w:sz w:val="20"/>
                <w:szCs w:val="20"/>
                <w:color w:val="auto"/>
              </w:rPr>
            </w:pPr>
            <w:r>
              <w:rPr>
                <w:rFonts w:ascii="Times New Roman" w:cs="Times New Roman" w:eastAsia="Times New Roman" w:hAnsi="Times New Roman"/>
                <w:sz w:val="17"/>
                <w:szCs w:val="17"/>
                <w:color w:val="auto"/>
                <w:w w:val="99"/>
              </w:rPr>
              <w:t>ARTICLE 9</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74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7480" w:type="dxa"/>
            <w:vAlign w:val="bottom"/>
          </w:tcPr>
          <w:p>
            <w:pPr>
              <w:jc w:val="center"/>
              <w:ind w:left="633"/>
              <w:spacing w:after="0"/>
              <w:rPr>
                <w:sz w:val="20"/>
                <w:szCs w:val="20"/>
                <w:color w:val="auto"/>
              </w:rPr>
            </w:pPr>
            <w:r>
              <w:rPr>
                <w:rFonts w:ascii="Times New Roman" w:cs="Times New Roman" w:eastAsia="Times New Roman" w:hAnsi="Times New Roman"/>
                <w:sz w:val="17"/>
                <w:szCs w:val="17"/>
                <w:color w:val="auto"/>
              </w:rPr>
              <w:t>AMENDMENT, SUPPLEMENT AND WAIVER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9.01</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Without Consent of Holders of Notes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9.02</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With Consent of Holders of Notes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9.03</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Supplemental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9.04</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Revocation and Effect of Consents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9.05</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Notation on or Exchange of Notes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9.06</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Trustee to Sign Amendments,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4"/>
                <w:szCs w:val="24"/>
                <w:color w:val="auto"/>
              </w:rPr>
            </w:pPr>
          </w:p>
        </w:tc>
        <w:tc>
          <w:tcPr>
            <w:tcW w:w="74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rPr>
              <w:t>ARTICLE 10</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7480" w:type="dxa"/>
            <w:vAlign w:val="bottom"/>
          </w:tcPr>
          <w:p>
            <w:pPr>
              <w:jc w:val="center"/>
              <w:ind w:left="633"/>
              <w:spacing w:after="0"/>
              <w:rPr>
                <w:sz w:val="20"/>
                <w:szCs w:val="20"/>
                <w:color w:val="auto"/>
              </w:rPr>
            </w:pPr>
            <w:r>
              <w:rPr>
                <w:rFonts w:ascii="Times New Roman" w:cs="Times New Roman" w:eastAsia="Times New Roman" w:hAnsi="Times New Roman"/>
                <w:sz w:val="17"/>
                <w:szCs w:val="17"/>
                <w:color w:val="auto"/>
              </w:rPr>
              <w:t>[INTENTIONALLY OMITTED]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4"/>
                <w:szCs w:val="24"/>
                <w:color w:val="auto"/>
              </w:rPr>
            </w:pPr>
          </w:p>
        </w:tc>
        <w:tc>
          <w:tcPr>
            <w:tcW w:w="74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rPr>
              <w:t>ARTICLE 11</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7480" w:type="dxa"/>
            <w:vAlign w:val="bottom"/>
          </w:tcPr>
          <w:p>
            <w:pPr>
              <w:jc w:val="center"/>
              <w:ind w:left="633"/>
              <w:spacing w:after="0"/>
              <w:rPr>
                <w:sz w:val="20"/>
                <w:szCs w:val="20"/>
                <w:color w:val="auto"/>
              </w:rPr>
            </w:pPr>
            <w:r>
              <w:rPr>
                <w:rFonts w:ascii="Times New Roman" w:cs="Times New Roman" w:eastAsia="Times New Roman" w:hAnsi="Times New Roman"/>
                <w:sz w:val="17"/>
                <w:szCs w:val="17"/>
                <w:color w:val="auto"/>
              </w:rPr>
              <w:t>[INTENTIONALLY OMITTED]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4"/>
                <w:szCs w:val="24"/>
                <w:color w:val="auto"/>
              </w:rPr>
            </w:pPr>
          </w:p>
        </w:tc>
        <w:tc>
          <w:tcPr>
            <w:tcW w:w="74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rPr>
              <w:t>ARTICLE 12</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7480" w:type="dxa"/>
            <w:vAlign w:val="bottom"/>
          </w:tcPr>
          <w:p>
            <w:pPr>
              <w:jc w:val="center"/>
              <w:ind w:left="633"/>
              <w:spacing w:after="0"/>
              <w:rPr>
                <w:sz w:val="20"/>
                <w:szCs w:val="20"/>
                <w:color w:val="auto"/>
              </w:rPr>
            </w:pPr>
            <w:r>
              <w:rPr>
                <w:rFonts w:ascii="Times New Roman" w:cs="Times New Roman" w:eastAsia="Times New Roman" w:hAnsi="Times New Roman"/>
                <w:sz w:val="17"/>
                <w:szCs w:val="17"/>
                <w:color w:val="auto"/>
              </w:rPr>
              <w:t>SATISFACTION AND DISCHARGE</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12.01</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Satisfaction and Discharge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12.02</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Application of Trust Money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4"/>
                <w:szCs w:val="24"/>
                <w:color w:val="auto"/>
              </w:rPr>
            </w:pPr>
          </w:p>
        </w:tc>
        <w:tc>
          <w:tcPr>
            <w:tcW w:w="74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rPr>
              <w:t>ARTICLE 13</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7480" w:type="dxa"/>
            <w:vAlign w:val="bottom"/>
          </w:tcPr>
          <w:p>
            <w:pPr>
              <w:jc w:val="center"/>
              <w:ind w:left="633"/>
              <w:spacing w:after="0"/>
              <w:rPr>
                <w:sz w:val="20"/>
                <w:szCs w:val="20"/>
                <w:color w:val="auto"/>
              </w:rPr>
            </w:pPr>
            <w:r>
              <w:rPr>
                <w:rFonts w:ascii="Times New Roman" w:cs="Times New Roman" w:eastAsia="Times New Roman" w:hAnsi="Times New Roman"/>
                <w:sz w:val="17"/>
                <w:szCs w:val="17"/>
                <w:color w:val="auto"/>
              </w:rPr>
              <w:t>MISCELLANEOUS</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13.01</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[Intentionally Omitted]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13.02</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13.03</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Communication by Holders of Notes with Other Holders of Notes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13.04</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Certificate and Opinion as to Conditions Precedent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13.05</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Statements Required in Certificate or Opinion</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13.06</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Rules by Trustee and Agents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13.07</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 Personal Liability of Directors, Officers, Employees and Stockholders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13.08</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Governing Law</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13.09</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 Adverse Interpretation of Other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13.10</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Successors.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13.11</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13.12</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Counterpart Originals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13.13</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Table of Contents, Headings,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13.14</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Patriot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Section 13.15</w:t>
            </w:r>
          </w:p>
        </w:tc>
        <w:tc>
          <w:tcPr>
            <w:tcW w:w="7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Submission to Jurisdiction; 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EXHIBITS</w:t>
      </w:r>
    </w:p>
    <w:p>
      <w:pPr>
        <w:sectPr>
          <w:pgSz w:w="11900" w:h="16838" w:orient="portrait"/>
          <w:cols w:equalWidth="0" w:num="1">
            <w:col w:w="10600"/>
          </w:cols>
          <w:pgMar w:left="620" w:top="259" w:right="679" w:bottom="1440" w:gutter="0" w:footer="0" w:header="0"/>
        </w:sectPr>
      </w:pPr>
    </w:p>
    <w:p>
      <w:pPr>
        <w:spacing w:after="0" w:line="24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Exhibit A</w:t>
      </w:r>
      <w:r>
        <w:rPr>
          <w:sz w:val="20"/>
          <w:szCs w:val="20"/>
          <w:color w:val="auto"/>
        </w:rPr>
        <w:tab/>
      </w:r>
      <w:r>
        <w:rPr>
          <w:rFonts w:ascii="Times New Roman" w:cs="Times New Roman" w:eastAsia="Times New Roman" w:hAnsi="Times New Roman"/>
          <w:sz w:val="17"/>
          <w:szCs w:val="17"/>
          <w:color w:val="auto"/>
        </w:rPr>
        <w:t>FORM OF NOTE</w:t>
      </w:r>
    </w:p>
    <w:p>
      <w:pPr>
        <w:spacing w:after="0" w:line="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Exhibit B</w:t>
      </w:r>
      <w:r>
        <w:rPr>
          <w:sz w:val="20"/>
          <w:szCs w:val="20"/>
          <w:color w:val="auto"/>
        </w:rPr>
        <w:tab/>
      </w:r>
      <w:r>
        <w:rPr>
          <w:rFonts w:ascii="Times New Roman" w:cs="Times New Roman" w:eastAsia="Times New Roman" w:hAnsi="Times New Roman"/>
          <w:sz w:val="17"/>
          <w:szCs w:val="17"/>
          <w:color w:val="auto"/>
        </w:rPr>
        <w:t>FORM OF CERTIFICATE OF TRANSFER</w:t>
      </w:r>
    </w:p>
    <w:p>
      <w:pPr>
        <w:spacing w:after="0" w:line="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Exhibit C</w:t>
      </w:r>
      <w:r>
        <w:rPr>
          <w:sz w:val="20"/>
          <w:szCs w:val="20"/>
          <w:color w:val="auto"/>
        </w:rPr>
        <w:tab/>
      </w:r>
      <w:r>
        <w:rPr>
          <w:rFonts w:ascii="Times New Roman" w:cs="Times New Roman" w:eastAsia="Times New Roman" w:hAnsi="Times New Roman"/>
          <w:sz w:val="17"/>
          <w:szCs w:val="17"/>
          <w:color w:val="auto"/>
        </w:rPr>
        <w:t>FORM OF CERTIFICATE OF EXCHANGE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2">
            <w:col w:w="4540" w:space="720"/>
            <w:col w:w="5340"/>
          </w:cols>
          <w:pgMar w:left="620" w:top="259" w:right="679" w:bottom="1440" w:gutter="0" w:footer="0" w:header="0"/>
          <w:type w:val="continuous"/>
        </w:sectPr>
      </w:pPr>
    </w:p>
    <w:bookmarkStart w:id="299" w:name="page300"/>
    <w:bookmarkEnd w:id="299"/>
    <w:p>
      <w:pPr>
        <w:ind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INDENTURE dated as of September 24, 2025, between Melco Resorts Finance Limited, an exempted company incorporated with limited liability in the Cayman Islands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Deutsche Bank Trust Company Americas, a New York banking corporation, as Trustee, Paying Agent, Registrar and Transfer Agent.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Each party agrees as follows for the benefit of each other and for the equal and ratable benefit of the Holders (as defined herein) of the 6.500%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Notes due 2033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DEFINITIONS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1.01   Definitions.</w:t>
      </w:r>
    </w:p>
    <w:p>
      <w:pPr>
        <w:spacing w:after="0" w:line="118" w:lineRule="exact"/>
        <w:rPr>
          <w:sz w:val="20"/>
          <w:szCs w:val="20"/>
          <w:color w:val="auto"/>
        </w:rPr>
      </w:pPr>
    </w:p>
    <w:p>
      <w:pPr>
        <w:ind w:right="4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“144A Global Note” </w:t>
      </w:r>
      <w:r>
        <w:rPr>
          <w:rFonts w:ascii="Times New Roman" w:cs="Times New Roman" w:eastAsia="Times New Roman" w:hAnsi="Times New Roman"/>
          <w:sz w:val="17"/>
          <w:szCs w:val="17"/>
          <w:color w:val="auto"/>
        </w:rPr>
        <w:t>means a Global Note substantially in the form of Exhibit A hereto bearing the Global Note Legend and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Legend and deposited with or on behalf of, and registered in the name of, the Depositary or its nominee that will be issued in a denomination equal to the outstanding principal amount of the Notes sold in reliance on Rule 144A.</w:t>
      </w:r>
    </w:p>
    <w:p>
      <w:pPr>
        <w:spacing w:after="0" w:line="160" w:lineRule="exact"/>
        <w:rPr>
          <w:sz w:val="20"/>
          <w:szCs w:val="20"/>
          <w:color w:val="auto"/>
        </w:rPr>
      </w:pPr>
    </w:p>
    <w:p>
      <w:pPr>
        <w:ind w:right="60" w:firstLine="42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“Additional Notes” </w:t>
      </w:r>
      <w:r>
        <w:rPr>
          <w:rFonts w:ascii="Times New Roman" w:cs="Times New Roman" w:eastAsia="Times New Roman" w:hAnsi="Times New Roman"/>
          <w:sz w:val="17"/>
          <w:szCs w:val="17"/>
          <w:color w:val="auto"/>
        </w:rPr>
        <w:t>means additional Notes (other than the Initial Notes) issued under this Indenture in accordance with Section 2.02 hereof,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part of the same series as the Initial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Additional Notes that are not fungible with the Notes for U.S. federal income tax purposes shall have a separate CUSIP number than any previously issued Notes, unless the Notes and the Additional Notes are issued with no more than a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minimis </w:t>
      </w:r>
      <w:r>
        <w:rPr>
          <w:rFonts w:ascii="Times New Roman" w:cs="Times New Roman" w:eastAsia="Times New Roman" w:hAnsi="Times New Roman"/>
          <w:sz w:val="17"/>
          <w:szCs w:val="17"/>
          <w:color w:val="auto"/>
        </w:rPr>
        <w:t>amount of original issue discount for U.S. federal income tax purposes, but shall otherwise be treated as a single class with all other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under this Indenture.</w:t>
      </w:r>
    </w:p>
    <w:p>
      <w:pPr>
        <w:spacing w:after="0" w:line="167" w:lineRule="exact"/>
        <w:rPr>
          <w:sz w:val="20"/>
          <w:szCs w:val="20"/>
          <w:color w:val="auto"/>
        </w:rPr>
      </w:pPr>
    </w:p>
    <w:p>
      <w:pPr>
        <w:ind w:right="100" w:firstLine="42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“Affiliate” </w:t>
      </w:r>
      <w:r>
        <w:rPr>
          <w:rFonts w:ascii="Times New Roman" w:cs="Times New Roman" w:eastAsia="Times New Roman" w:hAnsi="Times New Roman"/>
          <w:sz w:val="17"/>
          <w:szCs w:val="17"/>
          <w:color w:val="auto"/>
        </w:rPr>
        <w:t>of any specified Person means any other Person directly or indirectly controlling or controlled by or under direct or indirect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with such specified Person. For purposes of this definition, “</w:t>
      </w:r>
      <w:r>
        <w:rPr>
          <w:rFonts w:ascii="Times New Roman" w:cs="Times New Roman" w:eastAsia="Times New Roman" w:hAnsi="Times New Roman"/>
          <w:sz w:val="17"/>
          <w:szCs w:val="17"/>
          <w:i w:val="1"/>
          <w:iCs w:val="1"/>
          <w:color w:val="auto"/>
        </w:rPr>
        <w:t>control</w:t>
      </w:r>
      <w:r>
        <w:rPr>
          <w:rFonts w:ascii="Times New Roman" w:cs="Times New Roman" w:eastAsia="Times New Roman" w:hAnsi="Times New Roman"/>
          <w:sz w:val="17"/>
          <w:szCs w:val="17"/>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beneficial ownership of 10% or more of the Voting Stock of a Person will be deemed to be control. For purposes of this definition, the terms “</w:t>
      </w:r>
      <w:r>
        <w:rPr>
          <w:rFonts w:ascii="Times New Roman" w:cs="Times New Roman" w:eastAsia="Times New Roman" w:hAnsi="Times New Roman"/>
          <w:sz w:val="17"/>
          <w:szCs w:val="17"/>
          <w:i w:val="1"/>
          <w:iCs w:val="1"/>
          <w:color w:val="auto"/>
        </w:rPr>
        <w:t>controlling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under common control with</w:t>
      </w:r>
      <w:r>
        <w:rPr>
          <w:rFonts w:ascii="Times New Roman" w:cs="Times New Roman" w:eastAsia="Times New Roman" w:hAnsi="Times New Roman"/>
          <w:sz w:val="17"/>
          <w:szCs w:val="17"/>
          <w:color w:val="auto"/>
        </w:rPr>
        <w:t>” have correlative meanings.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Agent</w:t>
      </w:r>
      <w:r>
        <w:rPr>
          <w:rFonts w:ascii="Times New Roman" w:cs="Times New Roman" w:eastAsia="Times New Roman" w:hAnsi="Times New Roman"/>
          <w:sz w:val="17"/>
          <w:szCs w:val="17"/>
          <w:color w:val="auto"/>
        </w:rPr>
        <w:t>” means any Registrar, co-registrar, Paying Agent, Transfer Agent or additional paying agents or transfer agents.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Applicable Premium</w:t>
      </w:r>
      <w:r>
        <w:rPr>
          <w:rFonts w:ascii="Times New Roman" w:cs="Times New Roman" w:eastAsia="Times New Roman" w:hAnsi="Times New Roman"/>
          <w:sz w:val="17"/>
          <w:szCs w:val="17"/>
          <w:color w:val="auto"/>
        </w:rPr>
        <w:t>” means, with respect to any Note on any redemption date, the greater of:</w:t>
      </w:r>
    </w:p>
    <w:p>
      <w:pPr>
        <w:spacing w:after="0" w:line="1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1.0% of the principal amount of the Note; or</w:t>
      </w:r>
    </w:p>
    <w:p>
      <w:pPr>
        <w:spacing w:after="0" w:line="118" w:lineRule="exact"/>
        <w:rPr>
          <w:sz w:val="20"/>
          <w:szCs w:val="20"/>
          <w:color w:val="auto"/>
        </w:rPr>
      </w:pPr>
    </w:p>
    <w:p>
      <w:pPr>
        <w:ind w:left="420" w:right="320" w:firstLine="409"/>
        <w:spacing w:after="0" w:line="269" w:lineRule="auto"/>
        <w:rPr>
          <w:sz w:val="20"/>
          <w:szCs w:val="20"/>
          <w:color w:val="auto"/>
        </w:rPr>
      </w:pPr>
      <w:r>
        <w:rPr>
          <w:rFonts w:ascii="Times New Roman" w:cs="Times New Roman" w:eastAsia="Times New Roman" w:hAnsi="Times New Roman"/>
          <w:sz w:val="17"/>
          <w:szCs w:val="17"/>
          <w:color w:val="auto"/>
        </w:rPr>
        <w:t>(2)  the excess of: (a) the present value at such redemption date of (i) the redemption price of the Note at September 24, 2028 (such redemption price being set forth in the table appearing in Section 3.07 hereof) plus (ii) all required interest payments due on the Note through September 24, 2028 (excluding accrued but unpaid interest to but excluding the redemption date), computed using a discount rate equal to the Treasury Rate as of such redemption date plus 50 basis points; over (b) the principal amount of the Note.</w:t>
      </w:r>
    </w:p>
    <w:p>
      <w:pPr>
        <w:spacing w:after="0" w:line="169" w:lineRule="exact"/>
        <w:rPr>
          <w:sz w:val="20"/>
          <w:szCs w:val="20"/>
          <w:color w:val="auto"/>
        </w:rPr>
      </w:pPr>
    </w:p>
    <w:p>
      <w:pPr>
        <w:ind w:right="420" w:firstLine="426"/>
        <w:spacing w:after="0" w:line="295" w:lineRule="auto"/>
        <w:rPr>
          <w:sz w:val="20"/>
          <w:szCs w:val="20"/>
          <w:color w:val="auto"/>
        </w:rPr>
      </w:pPr>
      <w:r>
        <w:rPr>
          <w:rFonts w:ascii="Times New Roman" w:cs="Times New Roman" w:eastAsia="Times New Roman" w:hAnsi="Times New Roman"/>
          <w:sz w:val="17"/>
          <w:szCs w:val="17"/>
          <w:color w:val="auto"/>
        </w:rPr>
        <w:t>For the avoidance of doubt, the calculation of the Applicable Premium shall not be a duty or obligation of the Trustee, the Paying Agent, the Registrar or the Transfer Agent.</w:t>
      </w:r>
    </w:p>
    <w:p>
      <w:pPr>
        <w:spacing w:after="0" w:line="145" w:lineRule="exact"/>
        <w:rPr>
          <w:sz w:val="20"/>
          <w:szCs w:val="20"/>
          <w:color w:val="auto"/>
        </w:rPr>
      </w:pPr>
    </w:p>
    <w:p>
      <w:pPr>
        <w:ind w:right="72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“Applicable Procedures” </w:t>
      </w:r>
      <w:r>
        <w:rPr>
          <w:rFonts w:ascii="Times New Roman" w:cs="Times New Roman" w:eastAsia="Times New Roman" w:hAnsi="Times New Roman"/>
          <w:sz w:val="17"/>
          <w:szCs w:val="17"/>
          <w:color w:val="auto"/>
        </w:rPr>
        <w:t>means, with respect to any transfer or exchange of or for beneficial interests in any Global Note, the rules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of the Depositary, Euroclear and Clearstream that apply to such transfer or exchange.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20"/>
          </w:cols>
          <w:pgMar w:left="620" w:top="265" w:right="659" w:bottom="1440" w:gutter="0" w:footer="0" w:header="0"/>
        </w:sectPr>
      </w:pPr>
    </w:p>
    <w:bookmarkStart w:id="300" w:name="page301"/>
    <w:bookmarkEnd w:id="300"/>
    <w:p>
      <w:pPr>
        <w:ind w:right="120" w:firstLine="426"/>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“Bankruptcy Law” </w:t>
      </w:r>
      <w:r>
        <w:rPr>
          <w:rFonts w:ascii="Times New Roman" w:cs="Times New Roman" w:eastAsia="Times New Roman" w:hAnsi="Times New Roman"/>
          <w:sz w:val="17"/>
          <w:szCs w:val="17"/>
          <w:color w:val="auto"/>
        </w:rPr>
        <w:t>means (i) the United States Bankruptcy Code of 1978 or any similar U.S. federal or state law for the relief of debtors, (ii)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provisions of the Code of Civil Procedure of Macau that deal with the placement of a debtor into liquidation, the administration and disposal of its assets, the distribution of the proceeds thereof and the alternatives to such liquidation, or any laws of similar effect, and (iii) the provisions of Part V of the Companies Law (Revised) of the Cayman Islands that deal with the winding up or liquidation of a company or any other Cayman Islands law of similar effect.</w:t>
      </w:r>
    </w:p>
    <w:p>
      <w:pPr>
        <w:spacing w:after="0" w:line="167" w:lineRule="exact"/>
        <w:rPr>
          <w:sz w:val="20"/>
          <w:szCs w:val="20"/>
          <w:color w:val="auto"/>
        </w:rPr>
      </w:pPr>
    </w:p>
    <w:p>
      <w:pPr>
        <w:ind w:right="140" w:firstLine="42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“Beneficial Owner” </w:t>
      </w:r>
      <w:r>
        <w:rPr>
          <w:rFonts w:ascii="Times New Roman" w:cs="Times New Roman" w:eastAsia="Times New Roman" w:hAnsi="Times New Roman"/>
          <w:sz w:val="17"/>
          <w:szCs w:val="17"/>
          <w:color w:val="auto"/>
        </w:rPr>
        <w:t>has the meaning assigned to such term in Rule 13d-3 and Rule 13d-5 under the Exchange Act, except that in calculating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“Board of Directors” </w:t>
      </w:r>
      <w:r>
        <w:rPr>
          <w:rFonts w:ascii="Times New Roman" w:cs="Times New Roman" w:eastAsia="Times New Roman" w:hAnsi="Times New Roman"/>
          <w:sz w:val="17"/>
          <w:szCs w:val="17"/>
          <w:color w:val="auto"/>
        </w:rPr>
        <w:t>means:</w:t>
      </w:r>
    </w:p>
    <w:p>
      <w:pPr>
        <w:spacing w:after="0" w:line="120" w:lineRule="exact"/>
        <w:rPr>
          <w:sz w:val="20"/>
          <w:szCs w:val="20"/>
          <w:color w:val="auto"/>
        </w:rPr>
      </w:pPr>
    </w:p>
    <w:p>
      <w:pPr>
        <w:ind w:left="420" w:right="300" w:firstLine="409"/>
        <w:spacing w:after="0" w:line="295" w:lineRule="auto"/>
        <w:rPr>
          <w:sz w:val="20"/>
          <w:szCs w:val="20"/>
          <w:color w:val="auto"/>
        </w:rPr>
      </w:pPr>
      <w:r>
        <w:rPr>
          <w:rFonts w:ascii="Times New Roman" w:cs="Times New Roman" w:eastAsia="Times New Roman" w:hAnsi="Times New Roman"/>
          <w:sz w:val="17"/>
          <w:szCs w:val="17"/>
          <w:color w:val="auto"/>
        </w:rPr>
        <w:t>(1)  with respect to a corporation, the board of directors of the corporation or any committee thereof duly authorized to act on behalf of such board;</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with respect to a partnership, the board of directors of the general partner of the partnership;</w:t>
      </w:r>
    </w:p>
    <w:p>
      <w:pPr>
        <w:spacing w:after="0" w:line="118" w:lineRule="exact"/>
        <w:rPr>
          <w:sz w:val="20"/>
          <w:szCs w:val="20"/>
          <w:color w:val="auto"/>
        </w:rPr>
      </w:pPr>
    </w:p>
    <w:p>
      <w:pPr>
        <w:ind w:left="420" w:right="280" w:firstLine="409"/>
        <w:spacing w:after="0" w:line="295" w:lineRule="auto"/>
        <w:rPr>
          <w:sz w:val="20"/>
          <w:szCs w:val="20"/>
          <w:color w:val="auto"/>
        </w:rPr>
      </w:pPr>
      <w:r>
        <w:rPr>
          <w:rFonts w:ascii="Times New Roman" w:cs="Times New Roman" w:eastAsia="Times New Roman" w:hAnsi="Times New Roman"/>
          <w:sz w:val="17"/>
          <w:szCs w:val="17"/>
          <w:color w:val="auto"/>
        </w:rPr>
        <w:t>(3)  with respect to a limited liability company, the managing member or members or any controlling committee of managing members thereof; and</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with respect to any other Person, the board or committee of such Person serving a similar function.</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“Business Day” </w:t>
      </w:r>
      <w:r>
        <w:rPr>
          <w:rFonts w:ascii="Times New Roman" w:cs="Times New Roman" w:eastAsia="Times New Roman" w:hAnsi="Times New Roman"/>
          <w:sz w:val="17"/>
          <w:szCs w:val="17"/>
          <w:color w:val="auto"/>
        </w:rPr>
        <w:t>means any day other than a Legal Holiday.</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“Capital Stock” </w:t>
      </w:r>
      <w:r>
        <w:rPr>
          <w:rFonts w:ascii="Times New Roman" w:cs="Times New Roman" w:eastAsia="Times New Roman" w:hAnsi="Times New Roman"/>
          <w:sz w:val="17"/>
          <w:szCs w:val="17"/>
          <w:color w:val="auto"/>
        </w:rPr>
        <w:t>means:</w:t>
      </w:r>
    </w:p>
    <w:p>
      <w:pPr>
        <w:spacing w:after="0" w:line="1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in the case of a corporation, corporate stock;</w:t>
      </w:r>
    </w:p>
    <w:p>
      <w:pPr>
        <w:spacing w:after="0" w:line="118" w:lineRule="exact"/>
        <w:rPr>
          <w:sz w:val="20"/>
          <w:szCs w:val="20"/>
          <w:color w:val="auto"/>
        </w:rPr>
      </w:pPr>
    </w:p>
    <w:p>
      <w:pPr>
        <w:ind w:left="420" w:right="560" w:firstLine="409"/>
        <w:spacing w:after="0" w:line="295" w:lineRule="auto"/>
        <w:rPr>
          <w:sz w:val="20"/>
          <w:szCs w:val="20"/>
          <w:color w:val="auto"/>
        </w:rPr>
      </w:pPr>
      <w:r>
        <w:rPr>
          <w:rFonts w:ascii="Times New Roman" w:cs="Times New Roman" w:eastAsia="Times New Roman" w:hAnsi="Times New Roman"/>
          <w:sz w:val="17"/>
          <w:szCs w:val="17"/>
          <w:color w:val="auto"/>
        </w:rPr>
        <w:t>(2)  in the case of an association or business entity, any and all shares, interests, participations, rights or other equivalents (however designated) of corporate stock;</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in the case of a partnership or limited liability company, partnership interests (whether general or limited) or membership interests; and</w:t>
      </w:r>
    </w:p>
    <w:p>
      <w:pPr>
        <w:spacing w:after="0" w:line="118" w:lineRule="exact"/>
        <w:rPr>
          <w:sz w:val="20"/>
          <w:szCs w:val="20"/>
          <w:color w:val="auto"/>
        </w:rPr>
      </w:pPr>
    </w:p>
    <w:p>
      <w:pPr>
        <w:ind w:left="420" w:right="160" w:firstLine="409"/>
        <w:spacing w:after="0" w:line="276" w:lineRule="auto"/>
        <w:rPr>
          <w:sz w:val="20"/>
          <w:szCs w:val="20"/>
          <w:color w:val="auto"/>
        </w:rPr>
      </w:pPr>
      <w:r>
        <w:rPr>
          <w:rFonts w:ascii="Times New Roman" w:cs="Times New Roman" w:eastAsia="Times New Roman" w:hAnsi="Times New Roman"/>
          <w:sz w:val="17"/>
          <w:szCs w:val="17"/>
          <w:color w:val="auto"/>
        </w:rPr>
        <w:t>(4)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“Change of Control” </w:t>
      </w:r>
      <w:r>
        <w:rPr>
          <w:rFonts w:ascii="Times New Roman" w:cs="Times New Roman" w:eastAsia="Times New Roman" w:hAnsi="Times New Roman"/>
          <w:sz w:val="17"/>
          <w:szCs w:val="17"/>
          <w:color w:val="auto"/>
        </w:rPr>
        <w:t>means the occurrence of any of the following:</w:t>
      </w:r>
    </w:p>
    <w:p>
      <w:pPr>
        <w:spacing w:after="0" w:line="120" w:lineRule="exact"/>
        <w:rPr>
          <w:sz w:val="20"/>
          <w:szCs w:val="20"/>
          <w:color w:val="auto"/>
        </w:rPr>
      </w:pPr>
    </w:p>
    <w:p>
      <w:pPr>
        <w:ind w:left="420" w:right="200" w:firstLine="409"/>
        <w:spacing w:after="0" w:line="276" w:lineRule="auto"/>
        <w:rPr>
          <w:sz w:val="20"/>
          <w:szCs w:val="20"/>
          <w:color w:val="auto"/>
        </w:rPr>
      </w:pPr>
      <w:r>
        <w:rPr>
          <w:rFonts w:ascii="Times New Roman" w:cs="Times New Roman" w:eastAsia="Times New Roman" w:hAnsi="Times New Roman"/>
          <w:sz w:val="17"/>
          <w:szCs w:val="17"/>
          <w:color w:val="auto"/>
        </w:rPr>
        <w:t>(1)  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(other than a Sponsor or a Related Party of a Sponsor);</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adoption of a plan relating to the liquidation or dissolution of the Company;</w:t>
      </w:r>
    </w:p>
    <w:p>
      <w:pPr>
        <w:spacing w:after="0" w:line="118" w:lineRule="exact"/>
        <w:rPr>
          <w:sz w:val="20"/>
          <w:szCs w:val="20"/>
          <w:color w:val="auto"/>
        </w:rPr>
      </w:pPr>
    </w:p>
    <w:p>
      <w:pPr>
        <w:ind w:left="420" w:right="20" w:firstLine="409"/>
        <w:spacing w:after="0" w:line="266" w:lineRule="auto"/>
        <w:rPr>
          <w:sz w:val="20"/>
          <w:szCs w:val="20"/>
          <w:color w:val="auto"/>
        </w:rPr>
      </w:pPr>
      <w:r>
        <w:rPr>
          <w:rFonts w:ascii="Times New Roman" w:cs="Times New Roman" w:eastAsia="Times New Roman" w:hAnsi="Times New Roman"/>
          <w:sz w:val="17"/>
          <w:szCs w:val="17"/>
          <w:color w:val="auto"/>
        </w:rPr>
        <w:t>(3)  either (i) the Sponsor ceases collectively to beneficially own, directly or indirectly, at least 30% of the outstanding Capital Stock of the Parent (including any and all agreements, warrants, rights or options to acquire any Capital Stock) (measured in each case, by both voting power and size of equity interests), or (ii) the Parent ceases to beneficially own, directly or indirectly, at least 51% of the outstanding Capital Stock of Melco Resorts Macau (including any and all agreements, warrants, rights or options to acquire any Capital Stock) (measured in each case, by both voting power and size of equity interests);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20"/>
          </w:cols>
          <w:pgMar w:left="620" w:top="263" w:right="659" w:bottom="1440" w:gutter="0" w:footer="0" w:header="0"/>
        </w:sectPr>
      </w:pPr>
    </w:p>
    <w:bookmarkStart w:id="301" w:name="page302"/>
    <w:bookmarkEnd w:id="301"/>
    <w:p>
      <w:pPr>
        <w:ind w:left="8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(4)   the first day on which Parent ceases to own, directly or indirectly, 100% of the outstanding Equity Interests of the Company.</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“Change of Control Triggering Event” </w:t>
      </w:r>
      <w:r>
        <w:rPr>
          <w:rFonts w:ascii="Times New Roman" w:cs="Times New Roman" w:eastAsia="Times New Roman" w:hAnsi="Times New Roman"/>
          <w:sz w:val="17"/>
          <w:szCs w:val="17"/>
          <w:color w:val="auto"/>
        </w:rPr>
        <w:t>means the occurrence of a Change of Control and a Ratings Decline.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“Clearstream” </w:t>
      </w:r>
      <w:r>
        <w:rPr>
          <w:rFonts w:ascii="Times New Roman" w:cs="Times New Roman" w:eastAsia="Times New Roman" w:hAnsi="Times New Roman"/>
          <w:sz w:val="17"/>
          <w:szCs w:val="17"/>
          <w:color w:val="auto"/>
        </w:rPr>
        <w:t>means Clearstream Banking S.A.</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“Company” </w:t>
      </w:r>
      <w:r>
        <w:rPr>
          <w:rFonts w:ascii="Times New Roman" w:cs="Times New Roman" w:eastAsia="Times New Roman" w:hAnsi="Times New Roman"/>
          <w:sz w:val="17"/>
          <w:szCs w:val="17"/>
          <w:color w:val="auto"/>
        </w:rPr>
        <w:t>means Melco Resorts Finance Limited, and any and all successors thereto.</w:t>
      </w:r>
    </w:p>
    <w:p>
      <w:pPr>
        <w:spacing w:after="0" w:line="223" w:lineRule="exact"/>
        <w:rPr>
          <w:sz w:val="20"/>
          <w:szCs w:val="20"/>
          <w:color w:val="auto"/>
        </w:rPr>
      </w:pPr>
    </w:p>
    <w:p>
      <w:pPr>
        <w:ind w:right="40" w:firstLine="42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“Corporate Trust Office of the Trustee” </w:t>
      </w:r>
      <w:r>
        <w:rPr>
          <w:rFonts w:ascii="Times New Roman" w:cs="Times New Roman" w:eastAsia="Times New Roman" w:hAnsi="Times New Roman"/>
          <w:sz w:val="17"/>
          <w:szCs w:val="17"/>
          <w:color w:val="auto"/>
        </w:rPr>
        <w:t>will be the designated corporate trust office of the Trustee at which at any particular time its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 business shall be administered, which office at the date of original execution of this Indenture is located at (i) for purposes of surrender, transfer or exchange of any Notes, Deutsche Bank Trust Company Americas, c/o DB Services Americas, Inc., 5022 Gate Parkway, Suite 200, Jacksonville, FL 32256, Attn: Transfer Department and (ii) for all other purposes, Deutsche Bank Trust Company Americas, Trust and Securities Services, 1 Columbus Circle, 4th Floor, MS NYC01-0417, New York, New York 10019, USA, Attention: Corporate Team/Melco Resorts Finance Limited, Deal ID: AA8266 or at any other time at such other address as the Trustee may designate from time to time by notice to the parties hereto or at the designated corporate trust office of any successor trustee as to which such successor trustee may notify the parties hereto in writing.</w:t>
      </w:r>
    </w:p>
    <w:p>
      <w:pPr>
        <w:spacing w:after="0" w:line="173" w:lineRule="exact"/>
        <w:rPr>
          <w:sz w:val="20"/>
          <w:szCs w:val="20"/>
          <w:color w:val="auto"/>
        </w:rPr>
      </w:pPr>
    </w:p>
    <w:p>
      <w:pPr>
        <w:ind w:right="40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“Custodian” </w:t>
      </w:r>
      <w:r>
        <w:rPr>
          <w:rFonts w:ascii="Times New Roman" w:cs="Times New Roman" w:eastAsia="Times New Roman" w:hAnsi="Times New Roman"/>
          <w:sz w:val="17"/>
          <w:szCs w:val="17"/>
          <w:color w:val="auto"/>
        </w:rPr>
        <w:t>means Deutsche Bank Trust Company Americas, as custodian with respect to the Notes in global form, or any successor entity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thereto.</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“Default” </w:t>
      </w:r>
      <w:r>
        <w:rPr>
          <w:rFonts w:ascii="Times New Roman" w:cs="Times New Roman" w:eastAsia="Times New Roman" w:hAnsi="Times New Roman"/>
          <w:sz w:val="17"/>
          <w:szCs w:val="17"/>
          <w:color w:val="auto"/>
        </w:rPr>
        <w:t>means any event that is, or with the passage of time or the giving of notice or both would be, an Event of Default.</w:t>
      </w:r>
    </w:p>
    <w:p>
      <w:pPr>
        <w:spacing w:after="0" w:line="223" w:lineRule="exact"/>
        <w:rPr>
          <w:sz w:val="20"/>
          <w:szCs w:val="20"/>
          <w:color w:val="auto"/>
        </w:rPr>
      </w:pPr>
    </w:p>
    <w:p>
      <w:pPr>
        <w:ind w:right="44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“Definitive Note” </w:t>
      </w:r>
      <w:r>
        <w:rPr>
          <w:rFonts w:ascii="Times New Roman" w:cs="Times New Roman" w:eastAsia="Times New Roman" w:hAnsi="Times New Roman"/>
          <w:sz w:val="17"/>
          <w:szCs w:val="17"/>
          <w:color w:val="auto"/>
        </w:rPr>
        <w:t>means a certificated Note registered in the name of the Holder thereof and issued in accordance with Section 2.06 hereof,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substantially in the form of Exhibit A hereto, except that such Note shall not bear the Global Note Legend and shall not have the “Schedule of Exchanges of Interests in the Global Note” attached thereto.</w:t>
      </w:r>
    </w:p>
    <w:p>
      <w:pPr>
        <w:spacing w:after="0" w:line="160"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“Depositary” </w:t>
      </w:r>
      <w:r>
        <w:rPr>
          <w:rFonts w:ascii="Times New Roman" w:cs="Times New Roman" w:eastAsia="Times New Roman" w:hAnsi="Times New Roman"/>
          <w:sz w:val="17"/>
          <w:szCs w:val="17"/>
          <w:color w:val="auto"/>
        </w:rPr>
        <w:t>means, with respect to the Notes issuable or issued in whole or in part in global form, the Person specified in Section 2.03 hereof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Depositary with respect to the Notes, and any and all successors thereto appointed as depositary hereunder and having become such pursuant to the applicable provision of this Indenture.</w:t>
      </w:r>
    </w:p>
    <w:p>
      <w:pPr>
        <w:spacing w:after="0" w:line="160" w:lineRule="exact"/>
        <w:rPr>
          <w:sz w:val="20"/>
          <w:szCs w:val="20"/>
          <w:color w:val="auto"/>
        </w:rPr>
      </w:pPr>
    </w:p>
    <w:p>
      <w:pPr>
        <w:ind w:right="4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“Disqualified Stock” </w:t>
      </w:r>
      <w:r>
        <w:rPr>
          <w:rFonts w:ascii="Times New Roman" w:cs="Times New Roman" w:eastAsia="Times New Roman" w:hAnsi="Times New Roman"/>
          <w:sz w:val="17"/>
          <w:szCs w:val="17"/>
          <w:color w:val="auto"/>
        </w:rPr>
        <w:t>means any Capital Stock that, by its terms (or by the terms of any security into which it is convertible, or for which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w:t>
      </w:r>
    </w:p>
    <w:p>
      <w:pPr>
        <w:spacing w:after="0" w:line="166" w:lineRule="exact"/>
        <w:rPr>
          <w:sz w:val="20"/>
          <w:szCs w:val="20"/>
          <w:color w:val="auto"/>
        </w:rPr>
      </w:pPr>
    </w:p>
    <w:p>
      <w:pPr>
        <w:ind w:right="16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“Equity Interests” </w:t>
      </w:r>
      <w:r>
        <w:rPr>
          <w:rFonts w:ascii="Times New Roman" w:cs="Times New Roman" w:eastAsia="Times New Roman" w:hAnsi="Times New Roman"/>
          <w:sz w:val="17"/>
          <w:szCs w:val="17"/>
          <w:color w:val="auto"/>
        </w:rPr>
        <w:t>means Capital Stock and all warrants, options or other rights to acquire Capital Stock (but excluding any debt security that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into, or exchangeable for, Capital Stock).</w:t>
      </w:r>
    </w:p>
    <w:p>
      <w:pPr>
        <w:spacing w:after="0" w:line="142" w:lineRule="exact"/>
        <w:rPr>
          <w:sz w:val="20"/>
          <w:szCs w:val="20"/>
          <w:color w:val="auto"/>
        </w:rPr>
      </w:pPr>
    </w:p>
    <w:p>
      <w:pPr>
        <w:ind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“Equity Offering” </w:t>
      </w:r>
      <w:r>
        <w:rPr>
          <w:rFonts w:ascii="Times New Roman" w:cs="Times New Roman" w:eastAsia="Times New Roman" w:hAnsi="Times New Roman"/>
          <w:sz w:val="17"/>
          <w:szCs w:val="17"/>
          <w:color w:val="auto"/>
        </w:rPr>
        <w:t>means any public sale or private issuance of Capital Stock (other than Disqualified Stock) of (1) the Company or (2) a direct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i w:val="1"/>
          <w:iCs w:val="1"/>
          <w:color w:val="auto"/>
        </w:rPr>
        <w:t xml:space="preserve">“Euroclear” </w:t>
      </w:r>
      <w:r>
        <w:rPr>
          <w:rFonts w:ascii="Times New Roman" w:cs="Times New Roman" w:eastAsia="Times New Roman" w:hAnsi="Times New Roman"/>
          <w:sz w:val="17"/>
          <w:szCs w:val="17"/>
          <w:color w:val="auto"/>
        </w:rPr>
        <w:t>means Euroclear Bank SA/NV.</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0"/>
          </w:cols>
          <w:pgMar w:left="620" w:top="265" w:right="679" w:bottom="1440" w:gutter="0" w:footer="0" w:header="0"/>
        </w:sectPr>
      </w:pPr>
    </w:p>
    <w:bookmarkStart w:id="302" w:name="page303"/>
    <w:bookmarkEnd w:id="302"/>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“Exchange Act” </w:t>
      </w:r>
      <w:r>
        <w:rPr>
          <w:rFonts w:ascii="Times New Roman" w:cs="Times New Roman" w:eastAsia="Times New Roman" w:hAnsi="Times New Roman"/>
          <w:sz w:val="17"/>
          <w:szCs w:val="17"/>
          <w:color w:val="auto"/>
        </w:rPr>
        <w:t>means the Securities Exchange Act of 1934, as amended, and the rules and regulations of the SEC promulgated thereunder.</w:t>
      </w:r>
    </w:p>
    <w:p>
      <w:pPr>
        <w:spacing w:after="0" w:line="223" w:lineRule="exact"/>
        <w:rPr>
          <w:sz w:val="20"/>
          <w:szCs w:val="20"/>
          <w:color w:val="auto"/>
        </w:rPr>
      </w:pPr>
    </w:p>
    <w:p>
      <w:pPr>
        <w:jc w:val="both"/>
        <w:ind w:right="2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“GAAP” </w:t>
      </w:r>
      <w:r>
        <w:rPr>
          <w:rFonts w:ascii="Times New Roman" w:cs="Times New Roman" w:eastAsia="Times New Roman" w:hAnsi="Times New Roman"/>
          <w:sz w:val="17"/>
          <w:szCs w:val="17"/>
          <w:color w:val="auto"/>
        </w:rPr>
        <w:t>means United States generally accepted accounting principles set forth in the opinions and pronouncements of the Accounting Principles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6" w:lineRule="exact"/>
        <w:rPr>
          <w:sz w:val="20"/>
          <w:szCs w:val="20"/>
          <w:color w:val="auto"/>
        </w:rPr>
      </w:pPr>
    </w:p>
    <w:p>
      <w:pPr>
        <w:ind w:right="2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“Gaming Authorities” </w:t>
      </w:r>
      <w:r>
        <w:rPr>
          <w:rFonts w:ascii="Times New Roman" w:cs="Times New Roman" w:eastAsia="Times New Roman" w:hAnsi="Times New Roman"/>
          <w:sz w:val="17"/>
          <w:szCs w:val="17"/>
          <w:color w:val="auto"/>
        </w:rPr>
        <w:t>means, in any jurisdiction in which the Company or any of its Subsidiaries or the Sponsor manages or conducts any casino,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gaming business or activities, the applicable gaming board, commission, or other governmental gaming regulatory body or agency which (a) has, or may at any time after issuance of the Notes have, jurisdiction over the gaming activities of the Company or any of its Subsidiaries, or any successor to such authority or (b) is, or may at any time after the issuance of the Notes be, responsible for interpreting, administering and enforcing the Gaming Laws.</w:t>
      </w:r>
    </w:p>
    <w:p>
      <w:pPr>
        <w:spacing w:after="0" w:line="166" w:lineRule="exact"/>
        <w:rPr>
          <w:sz w:val="20"/>
          <w:szCs w:val="20"/>
          <w:color w:val="auto"/>
        </w:rPr>
      </w:pPr>
    </w:p>
    <w:p>
      <w:pPr>
        <w:ind w:right="20" w:firstLine="42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“Gaming Laws” </w:t>
      </w:r>
      <w:r>
        <w:rPr>
          <w:rFonts w:ascii="Times New Roman" w:cs="Times New Roman" w:eastAsia="Times New Roman" w:hAnsi="Times New Roman"/>
          <w:sz w:val="17"/>
          <w:szCs w:val="17"/>
          <w:color w:val="auto"/>
        </w:rPr>
        <w:t>means all applicable constitutions, treaties, resolutions, laws, regulations, instructions and statutes pursuant to which any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Authority possesses regulatory, licensing or permit authority over gaming, gambling or casino activities, and all rules, rulings, orders, ordinances, regulations of any Gaming Authority applicable to the gambling, casino, gaming businesses or activities of Melco Resorts Macau (or any other operator of the casino including the Sponsor or any of its Affiliates) or the Company or any of its Subsidiaries or the Sponsor in any jurisdiction, as in effect from time to time, including the policies, interpretations and administration thereof by the Gaming Authorities.</w:t>
      </w:r>
    </w:p>
    <w:p>
      <w:pPr>
        <w:spacing w:after="0" w:line="167" w:lineRule="exact"/>
        <w:rPr>
          <w:sz w:val="20"/>
          <w:szCs w:val="20"/>
          <w:color w:val="auto"/>
        </w:rPr>
      </w:pPr>
    </w:p>
    <w:p>
      <w:pPr>
        <w:ind w:right="34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“Gaming License” </w:t>
      </w:r>
      <w:r>
        <w:rPr>
          <w:rFonts w:ascii="Times New Roman" w:cs="Times New Roman" w:eastAsia="Times New Roman" w:hAnsi="Times New Roman"/>
          <w:sz w:val="17"/>
          <w:szCs w:val="17"/>
          <w:color w:val="auto"/>
        </w:rPr>
        <w:t>means the license, concession, subconcession or other authorization from any Government Authority which authorizes,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permits, concedes or allows the Company or any of its Subsidiaries, at the relevant time, to own or manage casino or gaming areas or operate casino games of fortune and chance.</w:t>
      </w:r>
    </w:p>
    <w:p>
      <w:pPr>
        <w:spacing w:after="0" w:line="160" w:lineRule="exact"/>
        <w:rPr>
          <w:sz w:val="20"/>
          <w:szCs w:val="20"/>
          <w:color w:val="auto"/>
        </w:rPr>
      </w:pPr>
    </w:p>
    <w:p>
      <w:pPr>
        <w:ind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“Global Note Legend” </w:t>
      </w:r>
      <w:r>
        <w:rPr>
          <w:rFonts w:ascii="Times New Roman" w:cs="Times New Roman" w:eastAsia="Times New Roman" w:hAnsi="Times New Roman"/>
          <w:sz w:val="17"/>
          <w:szCs w:val="17"/>
          <w:color w:val="auto"/>
        </w:rPr>
        <w:t>means the legend set forth in Section 2.06(f)(2) hereof, which is required to be placed on all Global Notes issued under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Indenture.</w:t>
      </w:r>
    </w:p>
    <w:p>
      <w:pPr>
        <w:spacing w:after="0" w:line="142" w:lineRule="exact"/>
        <w:rPr>
          <w:sz w:val="20"/>
          <w:szCs w:val="20"/>
          <w:color w:val="auto"/>
        </w:rPr>
      </w:pPr>
    </w:p>
    <w:p>
      <w:pPr>
        <w:ind w:right="10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“Global Notes” </w:t>
      </w:r>
      <w:r>
        <w:rPr>
          <w:rFonts w:ascii="Times New Roman" w:cs="Times New Roman" w:eastAsia="Times New Roman" w:hAnsi="Times New Roman"/>
          <w:sz w:val="17"/>
          <w:szCs w:val="17"/>
          <w:color w:val="auto"/>
        </w:rPr>
        <w:t>means, individually and collectively, each of the Restricted Global Notes and the Unrestricted Global Notes deposited with or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behalf of and registered in the name of the Depositary or its nominee, substantially in the form of Exhibit A hereto and that bears the Global Note Legend and that has the “Schedule of Exchanges of Interests in the Global Note” attached thereto, issued in accordance with Sections 2.01, 2.06(b)(3), 2.06(b)(4), and with Section 2.06(d)(2) or 2.06(f) hereof.</w:t>
      </w:r>
    </w:p>
    <w:p>
      <w:pPr>
        <w:spacing w:after="0" w:line="166" w:lineRule="exact"/>
        <w:rPr>
          <w:sz w:val="20"/>
          <w:szCs w:val="20"/>
          <w:color w:val="auto"/>
        </w:rPr>
      </w:pPr>
    </w:p>
    <w:p>
      <w:pPr>
        <w:ind w:right="8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“Governmental Authority” </w:t>
      </w:r>
      <w:r>
        <w:rPr>
          <w:rFonts w:ascii="Times New Roman" w:cs="Times New Roman" w:eastAsia="Times New Roman" w:hAnsi="Times New Roman"/>
          <w:sz w:val="17"/>
          <w:szCs w:val="17"/>
          <w:color w:val="auto"/>
        </w:rPr>
        <w:t>means the government of the Macau SAR or any other nation, or of any political subdivision thereof, whether state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6" w:lineRule="exact"/>
        <w:rPr>
          <w:sz w:val="20"/>
          <w:szCs w:val="20"/>
          <w:color w:val="auto"/>
        </w:rPr>
      </w:pPr>
    </w:p>
    <w:p>
      <w:pPr>
        <w:ind w:right="8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“Guarantee” </w:t>
      </w:r>
      <w:r>
        <w:rPr>
          <w:rFonts w:ascii="Times New Roman" w:cs="Times New Roman" w:eastAsia="Times New Roman" w:hAnsi="Times New Roman"/>
          <w:sz w:val="17"/>
          <w:szCs w:val="17"/>
          <w:color w:val="auto"/>
        </w:rPr>
        <w:t>means a guarantee other than by endorsement of negotiable instruments for collection in the ordinary course of business, direct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“Hedging Obligations” </w:t>
      </w:r>
      <w:r>
        <w:rPr>
          <w:rFonts w:ascii="Times New Roman" w:cs="Times New Roman" w:eastAsia="Times New Roman" w:hAnsi="Times New Roman"/>
          <w:sz w:val="17"/>
          <w:szCs w:val="17"/>
          <w:color w:val="auto"/>
        </w:rPr>
        <w:t>means, with respect to any specified Person, the obligations of such Person under:</w:t>
      </w:r>
    </w:p>
    <w:p>
      <w:pPr>
        <w:spacing w:after="0" w:line="120" w:lineRule="exact"/>
        <w:rPr>
          <w:sz w:val="20"/>
          <w:szCs w:val="20"/>
          <w:color w:val="auto"/>
        </w:rPr>
      </w:pPr>
    </w:p>
    <w:p>
      <w:pPr>
        <w:ind w:left="420" w:right="220" w:firstLine="409"/>
        <w:spacing w:after="0" w:line="295" w:lineRule="auto"/>
        <w:rPr>
          <w:sz w:val="20"/>
          <w:szCs w:val="20"/>
          <w:color w:val="auto"/>
        </w:rPr>
      </w:pPr>
      <w:r>
        <w:rPr>
          <w:rFonts w:ascii="Times New Roman" w:cs="Times New Roman" w:eastAsia="Times New Roman" w:hAnsi="Times New Roman"/>
          <w:sz w:val="17"/>
          <w:szCs w:val="17"/>
          <w:color w:val="auto"/>
        </w:rPr>
        <w:t>(1)  interest rate swap agreements (whether from fixed to floating or from floating to fixed), interest rate cap agreements and interest rate collar agreements;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60"/>
          </w:cols>
          <w:pgMar w:left="620" w:top="263" w:right="619" w:bottom="1440" w:gutter="0" w:footer="0" w:header="0"/>
        </w:sectPr>
      </w:pPr>
    </w:p>
    <w:bookmarkStart w:id="303" w:name="page304"/>
    <w:bookmarkEnd w:id="303"/>
    <w:p>
      <w:pPr>
        <w:ind w:left="8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   other agreements or arrangements designed to manage interest rates or interest rate risk; and</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other agreements or arrangements designed to protect such Person against fluctuations in currency exchange rates or commodity prices.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“Holder” </w:t>
      </w:r>
      <w:r>
        <w:rPr>
          <w:rFonts w:ascii="Times New Roman" w:cs="Times New Roman" w:eastAsia="Times New Roman" w:hAnsi="Times New Roman"/>
          <w:sz w:val="17"/>
          <w:szCs w:val="17"/>
          <w:color w:val="auto"/>
        </w:rPr>
        <w:t>means a Person in whose name a Note is registered.</w:t>
      </w:r>
    </w:p>
    <w:p>
      <w:pPr>
        <w:spacing w:after="0" w:line="223" w:lineRule="exact"/>
        <w:rPr>
          <w:sz w:val="20"/>
          <w:szCs w:val="20"/>
          <w:color w:val="auto"/>
        </w:rPr>
      </w:pPr>
    </w:p>
    <w:p>
      <w:pPr>
        <w:ind w:right="120" w:firstLine="42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“Incur” </w:t>
      </w:r>
      <w:r>
        <w:rPr>
          <w:rFonts w:ascii="Times New Roman" w:cs="Times New Roman" w:eastAsia="Times New Roman" w:hAnsi="Times New Roman"/>
          <w:sz w:val="17"/>
          <w:szCs w:val="17"/>
          <w:color w:val="auto"/>
        </w:rPr>
        <w:t>means, with respect to any Indebtedness, Capital Stock or other Obligation of any Person, to create, issue, assume, guarantee, incur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exchange, or otherwise) or otherwise become liable in respect of such Indebtedness, Capital Stock or other Obligation or the recording, as required pursuant to GAAP or otherwise, of any such Indebtedness or other Obligation on the balance sheet of such Person. Indebtedness or Capital Stock otherwise Incurred by a Person before it becomes a Subsidiary of the Company shall be deemed to be Incurred at the time at which such Person becomes a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3" w:lineRule="exact"/>
        <w:rPr>
          <w:sz w:val="20"/>
          <w:szCs w:val="20"/>
          <w:color w:val="auto"/>
        </w:rPr>
      </w:pPr>
    </w:p>
    <w:p>
      <w:pPr>
        <w:ind w:right="22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“Indebtedness” </w:t>
      </w:r>
      <w:r>
        <w:rPr>
          <w:rFonts w:ascii="Times New Roman" w:cs="Times New Roman" w:eastAsia="Times New Roman" w:hAnsi="Times New Roman"/>
          <w:sz w:val="17"/>
          <w:szCs w:val="17"/>
          <w:color w:val="auto"/>
        </w:rPr>
        <w:t>means, with respect to any specified Person, any indebtedness of such Person (excluding accrued expenses and trade payables),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or not contingent:</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in respect of borrowed money;</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evidenced by bonds, notes, debentures or similar instruments or letters of credit (or reimbursement agreements in respect thereof);</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in respect of banker’s acceptances;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representing finance lease obligations;</w:t>
      </w:r>
    </w:p>
    <w:p>
      <w:pPr>
        <w:spacing w:after="0" w:line="118" w:lineRule="exact"/>
        <w:rPr>
          <w:sz w:val="20"/>
          <w:szCs w:val="20"/>
          <w:color w:val="auto"/>
        </w:rPr>
      </w:pPr>
    </w:p>
    <w:p>
      <w:pPr>
        <w:ind w:left="420" w:right="520" w:firstLine="409"/>
        <w:spacing w:after="0" w:line="295" w:lineRule="auto"/>
        <w:rPr>
          <w:sz w:val="20"/>
          <w:szCs w:val="20"/>
          <w:color w:val="auto"/>
        </w:rPr>
      </w:pPr>
      <w:r>
        <w:rPr>
          <w:rFonts w:ascii="Times New Roman" w:cs="Times New Roman" w:eastAsia="Times New Roman" w:hAnsi="Times New Roman"/>
          <w:sz w:val="17"/>
          <w:szCs w:val="17"/>
          <w:color w:val="auto"/>
        </w:rPr>
        <w:t>(5)  representing the balance deferred and unpaid of the purchase price of any property or services due more than one year after such property is acquired or such services are completed; or</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(6)   representing any Hedging Obligations,</w:t>
      </w:r>
    </w:p>
    <w:p>
      <w:pPr>
        <w:spacing w:after="0" w:line="223" w:lineRule="exact"/>
        <w:rPr>
          <w:sz w:val="20"/>
          <w:szCs w:val="20"/>
          <w:color w:val="auto"/>
        </w:rPr>
      </w:pPr>
    </w:p>
    <w:p>
      <w:pPr>
        <w:ind w:right="180" w:firstLine="426"/>
        <w:spacing w:after="0" w:line="269" w:lineRule="auto"/>
        <w:rPr>
          <w:sz w:val="20"/>
          <w:szCs w:val="20"/>
          <w:color w:val="auto"/>
        </w:rPr>
      </w:pPr>
      <w:r>
        <w:rPr>
          <w:rFonts w:ascii="Times New Roman" w:cs="Times New Roman" w:eastAsia="Times New Roman" w:hAnsi="Times New Roman"/>
          <w:sz w:val="17"/>
          <w:szCs w:val="17"/>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69" w:lineRule="exact"/>
        <w:rPr>
          <w:sz w:val="20"/>
          <w:szCs w:val="20"/>
          <w:color w:val="auto"/>
        </w:rPr>
      </w:pPr>
    </w:p>
    <w:p>
      <w:pPr>
        <w:ind w:right="60" w:firstLine="426"/>
        <w:spacing w:after="0" w:line="260" w:lineRule="auto"/>
        <w:rPr>
          <w:sz w:val="20"/>
          <w:szCs w:val="20"/>
          <w:color w:val="auto"/>
        </w:rPr>
      </w:pPr>
      <w:r>
        <w:rPr>
          <w:rFonts w:ascii="Times New Roman" w:cs="Times New Roman" w:eastAsia="Times New Roman" w:hAnsi="Times New Roman"/>
          <w:sz w:val="17"/>
          <w:szCs w:val="17"/>
          <w:color w:val="auto"/>
        </w:rPr>
        <w:t xml:space="preserve">Notwithstanding the foregoing, “Indebtedness” will not include Shareholder Subordinated Debt (other than for purposes of the definition of “Shareholder Subordinated Debt”). In addition, “Indebtedness” will not include: (i) any capital commitments, deposits or advances from customers or any contingent obligations to refund payments (including deposits) to customers (or any guarantee thereof); or (ii) obligations of the Company or any of its Subsidiaries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such Indebtedness is not reflected as borrowings on the consolidated balance sheet of the Company (contingent obligations and commitments referred to in a footnote to the consolidated financial statements and not otherwise reflected as borrowings on the consolidated balance sheet will not be deemed to be reflected on such consolidated balance sheet); or (iii) any lease of property which would be considered an operating lease under GAAP and any guarantee given by the Company or any of its Subsidiaries in the ordinary course of business solely in connection with, or in respect of, the obligations of the Company and its Subsidiaries under any operating lease.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60"/>
          </w:cols>
          <w:pgMar w:left="620" w:top="265" w:right="619" w:bottom="1440" w:gutter="0" w:footer="0" w:header="0"/>
        </w:sectPr>
      </w:pPr>
    </w:p>
    <w:bookmarkStart w:id="304" w:name="page305"/>
    <w:bookmarkEnd w:id="304"/>
    <w:p>
      <w:pPr>
        <w:jc w:val="both"/>
        <w:ind w:right="12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57" w:lineRule="exact"/>
        <w:rPr>
          <w:sz w:val="20"/>
          <w:szCs w:val="20"/>
          <w:color w:val="auto"/>
        </w:rPr>
      </w:pPr>
    </w:p>
    <w:p>
      <w:pPr>
        <w:ind w:left="960" w:right="360" w:firstLine="388"/>
        <w:spacing w:after="0" w:line="276" w:lineRule="auto"/>
        <w:rPr>
          <w:sz w:val="20"/>
          <w:szCs w:val="20"/>
          <w:color w:val="auto"/>
        </w:rPr>
      </w:pPr>
      <w:r>
        <w:rPr>
          <w:rFonts w:ascii="Times New Roman" w:cs="Times New Roman" w:eastAsia="Times New Roman" w:hAnsi="Times New Roman"/>
          <w:sz w:val="17"/>
          <w:szCs w:val="17"/>
          <w:color w:val="auto"/>
        </w:rPr>
        <w:t>(A)  the amount outstanding at any time of any Indebtedness issued with original issue discount is the face amount of such Indebtedness less the remaining unamortized portion of the original issue discount of such Indebtedness at such time as determined in conformity with GAAP;</w:t>
      </w:r>
    </w:p>
    <w:p>
      <w:pPr>
        <w:spacing w:after="0" w:line="57" w:lineRule="exact"/>
        <w:rPr>
          <w:sz w:val="20"/>
          <w:szCs w:val="20"/>
          <w:color w:val="auto"/>
        </w:rPr>
      </w:pPr>
    </w:p>
    <w:p>
      <w:pPr>
        <w:ind w:left="960" w:right="80" w:firstLine="388"/>
        <w:spacing w:after="0" w:line="295" w:lineRule="auto"/>
        <w:rPr>
          <w:sz w:val="20"/>
          <w:szCs w:val="20"/>
          <w:color w:val="auto"/>
        </w:rPr>
      </w:pPr>
      <w:r>
        <w:rPr>
          <w:rFonts w:ascii="Times New Roman" w:cs="Times New Roman" w:eastAsia="Times New Roman" w:hAnsi="Times New Roman"/>
          <w:sz w:val="17"/>
          <w:szCs w:val="17"/>
          <w:color w:val="auto"/>
        </w:rPr>
        <w:t>(B)  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42" w:lineRule="exact"/>
        <w:rPr>
          <w:sz w:val="20"/>
          <w:szCs w:val="20"/>
          <w:color w:val="auto"/>
        </w:rPr>
      </w:pPr>
    </w:p>
    <w:p>
      <w:pPr>
        <w:ind w:left="960" w:right="60" w:firstLine="388"/>
        <w:spacing w:after="0" w:line="295" w:lineRule="auto"/>
        <w:rPr>
          <w:sz w:val="20"/>
          <w:szCs w:val="20"/>
          <w:color w:val="auto"/>
        </w:rPr>
      </w:pPr>
      <w:r>
        <w:rPr>
          <w:rFonts w:ascii="Times New Roman" w:cs="Times New Roman" w:eastAsia="Times New Roman" w:hAnsi="Times New Roman"/>
          <w:sz w:val="17"/>
          <w:szCs w:val="17"/>
          <w:color w:val="auto"/>
        </w:rPr>
        <w:t>(C)  the amount of or the principal amount of Indebtedness with respect to any Hedging Obligation shall be equal to the net amount payable if such Hedging Obligation terminated at or prior to that time due to a default by such Person.</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“Indenture” </w:t>
      </w:r>
      <w:r>
        <w:rPr>
          <w:rFonts w:ascii="Times New Roman" w:cs="Times New Roman" w:eastAsia="Times New Roman" w:hAnsi="Times New Roman"/>
          <w:sz w:val="17"/>
          <w:szCs w:val="17"/>
          <w:color w:val="auto"/>
        </w:rPr>
        <w:t>means this Indenture, as amended or supplemented from time to time.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“Indirect Participant” </w:t>
      </w:r>
      <w:r>
        <w:rPr>
          <w:rFonts w:ascii="Times New Roman" w:cs="Times New Roman" w:eastAsia="Times New Roman" w:hAnsi="Times New Roman"/>
          <w:sz w:val="17"/>
          <w:szCs w:val="17"/>
          <w:color w:val="auto"/>
        </w:rPr>
        <w:t>means a Person who holds a beneficial interest in a Global Note through a Participant.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“Initial Notes” </w:t>
      </w:r>
      <w:r>
        <w:rPr>
          <w:rFonts w:ascii="Times New Roman" w:cs="Times New Roman" w:eastAsia="Times New Roman" w:hAnsi="Times New Roman"/>
          <w:sz w:val="17"/>
          <w:szCs w:val="17"/>
          <w:color w:val="auto"/>
        </w:rPr>
        <w:t>means the first US$500,000,000 aggregate principal amount of Notes issued under this Indenture on the date hereof.</w:t>
      </w:r>
    </w:p>
    <w:p>
      <w:pPr>
        <w:spacing w:after="0" w:line="223"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“Initial Purchasers” </w:t>
      </w:r>
      <w:r>
        <w:rPr>
          <w:rFonts w:ascii="Times New Roman" w:cs="Times New Roman" w:eastAsia="Times New Roman" w:hAnsi="Times New Roman"/>
          <w:sz w:val="17"/>
          <w:szCs w:val="17"/>
          <w:color w:val="auto"/>
        </w:rPr>
        <w:t>means Deutsche Bank AG, Singapore Branch, Morgan Stanley &amp; Co. LLC, UBS AG Hong Kong Branch, Bank of China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Limited, Macau Branch, Bank of Communications Co., Ltd. Macau Branch, CBRE Capital Advisors, Inc. and Industrial and Commercial Bank of China (Macau) Limited.</w:t>
      </w:r>
    </w:p>
    <w:p>
      <w:pPr>
        <w:spacing w:after="0" w:line="160" w:lineRule="exact"/>
        <w:rPr>
          <w:sz w:val="20"/>
          <w:szCs w:val="20"/>
          <w:color w:val="auto"/>
        </w:rPr>
      </w:pPr>
    </w:p>
    <w:p>
      <w:pPr>
        <w:ind w:right="40" w:firstLine="42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“Investment Grade” </w:t>
      </w:r>
      <w:r>
        <w:rPr>
          <w:rFonts w:ascii="Times New Roman" w:cs="Times New Roman" w:eastAsia="Times New Roman" w:hAnsi="Times New Roman"/>
          <w:sz w:val="17"/>
          <w:szCs w:val="17"/>
          <w:color w:val="auto"/>
        </w:rPr>
        <w:t>means a rating of BBB- or better by S&amp;P (or its equivalent under any successor rating category of S&amp;P), a rating of BBB-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better by Fitch (or its equivalent under any successor rating category of Fitch), a rating of Baa3 or better by Moody’s (or its equivalent under any successor rating category of Moody’s), and the equivalent ratings of any other “nationally recognized statistical rating organization” that is registered as such pursuant to Section 15E of the Exchange Act and Rule 17g thereunder selected by the Company as having been substituted as a Rating Agency for S&amp;P, Fitch or Moody’s, as the case may be.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“Issue Date” </w:t>
      </w:r>
      <w:r>
        <w:rPr>
          <w:rFonts w:ascii="Times New Roman" w:cs="Times New Roman" w:eastAsia="Times New Roman" w:hAnsi="Times New Roman"/>
          <w:sz w:val="17"/>
          <w:szCs w:val="17"/>
          <w:color w:val="auto"/>
        </w:rPr>
        <w:t>means the date on which the Notes (other than any Additional Notes) are originally issued.</w:t>
      </w:r>
    </w:p>
    <w:p>
      <w:pPr>
        <w:spacing w:after="0" w:line="223" w:lineRule="exact"/>
        <w:rPr>
          <w:sz w:val="20"/>
          <w:szCs w:val="20"/>
          <w:color w:val="auto"/>
        </w:rPr>
      </w:pPr>
    </w:p>
    <w:p>
      <w:pPr>
        <w:ind w:right="10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“Legal Holiday” </w:t>
      </w:r>
      <w:r>
        <w:rPr>
          <w:rFonts w:ascii="Times New Roman" w:cs="Times New Roman" w:eastAsia="Times New Roman" w:hAnsi="Times New Roman"/>
          <w:sz w:val="17"/>
          <w:szCs w:val="17"/>
          <w:color w:val="auto"/>
        </w:rPr>
        <w:t>means a Saturday, a Sunday or a day on which banking institutions in the Cayman Islands, the City of New York, Hong Kong,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Macau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6" w:lineRule="exact"/>
        <w:rPr>
          <w:sz w:val="20"/>
          <w:szCs w:val="20"/>
          <w:color w:val="auto"/>
        </w:rPr>
      </w:pPr>
    </w:p>
    <w:p>
      <w:pPr>
        <w:ind w:right="6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“Lien” </w:t>
      </w:r>
      <w:r>
        <w:rPr>
          <w:rFonts w:ascii="Times New Roman" w:cs="Times New Roman" w:eastAsia="Times New Roman" w:hAnsi="Times New Roman"/>
          <w:sz w:val="17"/>
          <w:szCs w:val="17"/>
          <w:color w:val="auto"/>
        </w:rPr>
        <w:t>means, with respect to any asset, any mortgage, lien, pledge, charge, security interest or encumbrance of any kind in respect of such asset,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“Melco Resorts Macau” </w:t>
      </w:r>
      <w:r>
        <w:rPr>
          <w:rFonts w:ascii="Times New Roman" w:cs="Times New Roman" w:eastAsia="Times New Roman" w:hAnsi="Times New Roman"/>
          <w:sz w:val="17"/>
          <w:szCs w:val="17"/>
          <w:color w:val="auto"/>
        </w:rPr>
        <w:t>means Melco Resorts (Macau) Limited, formerly known as Melco Crown (Macau) Limited.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“Moody’s” </w:t>
      </w:r>
      <w:r>
        <w:rPr>
          <w:rFonts w:ascii="Times New Roman" w:cs="Times New Roman" w:eastAsia="Times New Roman" w:hAnsi="Times New Roman"/>
          <w:sz w:val="17"/>
          <w:szCs w:val="17"/>
          <w:color w:val="auto"/>
        </w:rPr>
        <w:t>means Moody’s Investors Service, Inc. and any of its successors.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40"/>
          </w:cols>
          <w:pgMar w:left="620" w:top="265" w:right="639" w:bottom="1440" w:gutter="0" w:footer="0" w:header="0"/>
        </w:sectPr>
      </w:pPr>
    </w:p>
    <w:bookmarkStart w:id="305" w:name="page306"/>
    <w:bookmarkEnd w:id="305"/>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“Non-U.S. Person” </w:t>
      </w:r>
      <w:r>
        <w:rPr>
          <w:rFonts w:ascii="Times New Roman" w:cs="Times New Roman" w:eastAsia="Times New Roman" w:hAnsi="Times New Roman"/>
          <w:sz w:val="17"/>
          <w:szCs w:val="17"/>
          <w:color w:val="auto"/>
        </w:rPr>
        <w:t>means a Person who is not a U.S. Person.</w:t>
      </w:r>
    </w:p>
    <w:p>
      <w:pPr>
        <w:spacing w:after="0" w:line="223" w:lineRule="exact"/>
        <w:rPr>
          <w:sz w:val="20"/>
          <w:szCs w:val="20"/>
          <w:color w:val="auto"/>
        </w:rPr>
      </w:pPr>
    </w:p>
    <w:p>
      <w:pPr>
        <w:jc w:val="both"/>
        <w:ind w:right="16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“Notes” </w:t>
      </w:r>
      <w:r>
        <w:rPr>
          <w:rFonts w:ascii="Times New Roman" w:cs="Times New Roman" w:eastAsia="Times New Roman" w:hAnsi="Times New Roman"/>
          <w:sz w:val="17"/>
          <w:szCs w:val="17"/>
          <w:color w:val="auto"/>
        </w:rPr>
        <w:t>has the meaning assigned to it in the preamble to this Indenture. The Initial Notes and the Additional Notes shall be treated as a single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for all purposes under this Indenture, and unless the context otherwise requires, all references to the Notes shall include the Initial Notes and any Additional Notes.</w:t>
      </w:r>
    </w:p>
    <w:p>
      <w:pPr>
        <w:spacing w:after="0" w:line="160" w:lineRule="exact"/>
        <w:rPr>
          <w:sz w:val="20"/>
          <w:szCs w:val="20"/>
          <w:color w:val="auto"/>
        </w:rPr>
      </w:pPr>
    </w:p>
    <w:p>
      <w:pPr>
        <w:ind w:right="22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“Obligations” </w:t>
      </w:r>
      <w:r>
        <w:rPr>
          <w:rFonts w:ascii="Times New Roman" w:cs="Times New Roman" w:eastAsia="Times New Roman" w:hAnsi="Times New Roman"/>
          <w:sz w:val="17"/>
          <w:szCs w:val="17"/>
          <w:color w:val="auto"/>
        </w:rPr>
        <w:t>means any principal, interest, penalties, fees, indemnifications, reimbursements, damages and other liabilities payable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documentation governing any Indebtedness.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“Offering Memorandum” </w:t>
      </w:r>
      <w:r>
        <w:rPr>
          <w:rFonts w:ascii="Times New Roman" w:cs="Times New Roman" w:eastAsia="Times New Roman" w:hAnsi="Times New Roman"/>
          <w:sz w:val="17"/>
          <w:szCs w:val="17"/>
          <w:color w:val="auto"/>
        </w:rPr>
        <w:t>means the offering memorandum dated September 16, 2025 in respect of the Notes.</w:t>
      </w:r>
    </w:p>
    <w:p>
      <w:pPr>
        <w:spacing w:after="0" w:line="223" w:lineRule="exact"/>
        <w:rPr>
          <w:sz w:val="20"/>
          <w:szCs w:val="20"/>
          <w:color w:val="auto"/>
        </w:rPr>
      </w:pPr>
    </w:p>
    <w:p>
      <w:pPr>
        <w:ind w:right="24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“Officer” </w:t>
      </w:r>
      <w:r>
        <w:rPr>
          <w:rFonts w:ascii="Times New Roman" w:cs="Times New Roman" w:eastAsia="Times New Roman" w:hAnsi="Times New Roman"/>
          <w:sz w:val="17"/>
          <w:szCs w:val="17"/>
          <w:color w:val="auto"/>
        </w:rPr>
        <w:t>means the Chairman of the Board, Chief Executive Officer, Chief Financial Officer, President, any Executive Vice President,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Vice President or Vice President, Treasurer or Secretary of the Company, or any Director of the Board of the Company or any Person acting in that capacity.</w:t>
      </w:r>
    </w:p>
    <w:p>
      <w:pPr>
        <w:spacing w:after="0" w:line="160" w:lineRule="exact"/>
        <w:rPr>
          <w:sz w:val="20"/>
          <w:szCs w:val="20"/>
          <w:color w:val="auto"/>
        </w:rPr>
      </w:pPr>
    </w:p>
    <w:p>
      <w:pPr>
        <w:ind w:right="44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“Officer’s Certificate” </w:t>
      </w:r>
      <w:r>
        <w:rPr>
          <w:rFonts w:ascii="Times New Roman" w:cs="Times New Roman" w:eastAsia="Times New Roman" w:hAnsi="Times New Roman"/>
          <w:sz w:val="17"/>
          <w:szCs w:val="17"/>
          <w:color w:val="auto"/>
        </w:rPr>
        <w:t>means a certificate signed on behalf of the Company by an Officer of the Company which meets the requirements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13.05 hereof.</w:t>
      </w:r>
    </w:p>
    <w:p>
      <w:pPr>
        <w:spacing w:after="0" w:line="142" w:lineRule="exact"/>
        <w:rPr>
          <w:sz w:val="20"/>
          <w:szCs w:val="20"/>
          <w:color w:val="auto"/>
        </w:rPr>
      </w:pPr>
    </w:p>
    <w:p>
      <w:pPr>
        <w:ind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“Opinion of Counsel” </w:t>
      </w:r>
      <w:r>
        <w:rPr>
          <w:rFonts w:ascii="Times New Roman" w:cs="Times New Roman" w:eastAsia="Times New Roman" w:hAnsi="Times New Roman"/>
          <w:sz w:val="17"/>
          <w:szCs w:val="17"/>
          <w:color w:val="auto"/>
        </w:rPr>
        <w:t>means a written opinion from legal counsel who is acceptable to the Trustee, or the Registrar (as applicable), that meets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Section 13.05 hereof. The counsel may be an employee of or counsel to the Company.</w:t>
      </w:r>
    </w:p>
    <w:p>
      <w:pPr>
        <w:spacing w:after="0" w:line="142" w:lineRule="exact"/>
        <w:rPr>
          <w:sz w:val="20"/>
          <w:szCs w:val="20"/>
          <w:color w:val="auto"/>
        </w:rPr>
      </w:pPr>
    </w:p>
    <w:p>
      <w:pPr>
        <w:ind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“Parent” </w:t>
      </w:r>
      <w:r>
        <w:rPr>
          <w:rFonts w:ascii="Times New Roman" w:cs="Times New Roman" w:eastAsia="Times New Roman" w:hAnsi="Times New Roman"/>
          <w:sz w:val="17"/>
          <w:szCs w:val="17"/>
          <w:color w:val="auto"/>
        </w:rPr>
        <w:t>means Melco Resorts &amp; Entertainment Limited, an exempted company incorporated with limited liability under the laws of the Cayman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Islands.</w:t>
      </w:r>
    </w:p>
    <w:p>
      <w:pPr>
        <w:spacing w:after="0" w:line="142" w:lineRule="exact"/>
        <w:rPr>
          <w:sz w:val="20"/>
          <w:szCs w:val="20"/>
          <w:color w:val="auto"/>
        </w:rPr>
      </w:pPr>
    </w:p>
    <w:p>
      <w:pPr>
        <w:ind w:right="24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“Participant” </w:t>
      </w:r>
      <w:r>
        <w:rPr>
          <w:rFonts w:ascii="Times New Roman" w:cs="Times New Roman" w:eastAsia="Times New Roman" w:hAnsi="Times New Roman"/>
          <w:sz w:val="17"/>
          <w:szCs w:val="17"/>
          <w:color w:val="auto"/>
        </w:rPr>
        <w:t>means, with respect to the Depositary, Euroclear or Clearstream, a Person who has an account with the Depositary, Euroclear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Clearstream, respectively (and, with respect to DTC, shall include Euroclear and Clearstream).</w:t>
      </w:r>
    </w:p>
    <w:p>
      <w:pPr>
        <w:spacing w:after="0" w:line="142" w:lineRule="exact"/>
        <w:rPr>
          <w:sz w:val="20"/>
          <w:szCs w:val="20"/>
          <w:color w:val="auto"/>
        </w:rPr>
      </w:pPr>
    </w:p>
    <w:p>
      <w:pPr>
        <w:ind w:right="38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“Person” </w:t>
      </w:r>
      <w:r>
        <w:rPr>
          <w:rFonts w:ascii="Times New Roman" w:cs="Times New Roman" w:eastAsia="Times New Roman" w:hAnsi="Times New Roman"/>
          <w:sz w:val="17"/>
          <w:szCs w:val="17"/>
          <w:color w:val="auto"/>
        </w:rPr>
        <w:t>means any individual, corporation, partnership, joint venture, association, joint-stock company, trust, unincorporated organization,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limited liability company or government or other entity.</w:t>
      </w:r>
    </w:p>
    <w:p>
      <w:pPr>
        <w:spacing w:after="0" w:line="142" w:lineRule="exact"/>
        <w:rPr>
          <w:sz w:val="20"/>
          <w:szCs w:val="20"/>
          <w:color w:val="auto"/>
        </w:rPr>
      </w:pPr>
    </w:p>
    <w:p>
      <w:pPr>
        <w:ind w:right="12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“Private Placement Legend” </w:t>
      </w:r>
      <w:r>
        <w:rPr>
          <w:rFonts w:ascii="Times New Roman" w:cs="Times New Roman" w:eastAsia="Times New Roman" w:hAnsi="Times New Roman"/>
          <w:sz w:val="17"/>
          <w:szCs w:val="17"/>
          <w:color w:val="auto"/>
        </w:rPr>
        <w:t>means the legend set forth in Section 2.06(f)(1) hereof to be placed on all Notes issued under this Indenture except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otherwise permitted by the provisions of this Indenture.</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“QIB” </w:t>
      </w:r>
      <w:r>
        <w:rPr>
          <w:rFonts w:ascii="Times New Roman" w:cs="Times New Roman" w:eastAsia="Times New Roman" w:hAnsi="Times New Roman"/>
          <w:sz w:val="17"/>
          <w:szCs w:val="17"/>
          <w:color w:val="auto"/>
        </w:rPr>
        <w:t>means a “qualified institutional buyer” as defined in Rule 144A.</w:t>
      </w:r>
    </w:p>
    <w:p>
      <w:pPr>
        <w:spacing w:after="0" w:line="223" w:lineRule="exact"/>
        <w:rPr>
          <w:sz w:val="20"/>
          <w:szCs w:val="20"/>
          <w:color w:val="auto"/>
        </w:rPr>
      </w:pPr>
    </w:p>
    <w:p>
      <w:pPr>
        <w:ind w:right="26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“Rating Agencies” </w:t>
      </w:r>
      <w:r>
        <w:rPr>
          <w:rFonts w:ascii="Times New Roman" w:cs="Times New Roman" w:eastAsia="Times New Roman" w:hAnsi="Times New Roman"/>
          <w:sz w:val="17"/>
          <w:szCs w:val="17"/>
          <w:color w:val="auto"/>
        </w:rPr>
        <w:t>means any of (i) S&amp;P, (ii) Moody’s, (iii) Fitch or (iv) if any or all of them shall not make a rating of the Notes publicly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any other “nationally recognized statistical rating organization” that is registered as such pursuant to Section 15E of the Exchange Act and Rule 17g thereunder selected by the Company as a replacement agency.</w:t>
      </w:r>
    </w:p>
    <w:p>
      <w:pPr>
        <w:spacing w:after="0" w:line="160"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“Rating Category” </w:t>
      </w:r>
      <w:r>
        <w:rPr>
          <w:rFonts w:ascii="Times New Roman" w:cs="Times New Roman" w:eastAsia="Times New Roman" w:hAnsi="Times New Roman"/>
          <w:sz w:val="17"/>
          <w:szCs w:val="17"/>
          <w:color w:val="auto"/>
        </w:rPr>
        <w:t>means: (1) with respect to S&amp;P, any of the following categories: “AAA,” “AA,” “A,” “BBB,” “BB,” “B,” “CCC,” “CC,” “C”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 (or equivalent successor categories); (2) with respect to Moody’s, any of the following categories: “Aaa,” “Aa,” “A,” “Baa,” “Ba,” “B,” “Caa,” “Ca,” “C” and “D” (or equivalent successor categories); (3) with respect to Fitch, any of the following categories “AAA,” “AA,” “A,” “BBB,” “BB,” “B,” “CCC,” “CC,” “C” and “D” (or equivalent successor categories); and (4) the equivalent of any such category of S&amp;P, Moody’s or Fitch used by another Rating Agency. In determining whether the rating of the Notes has decreased by one or more gradations, gradations within Rating Categories (“+” and “-” for S&amp;P and Fitch; “1,” “2” and “3” for Moody’s; or the equivalent gradations for another Rating Agency) shall be taken into account (e.g., with respect to S&amp;P, a decline in a rating from “BB+” to “BB,” as well as from “B+” to “B-,” will constitute a decrease of one gradation).</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00"/>
          </w:cols>
          <w:pgMar w:left="620" w:top="263" w:right="679" w:bottom="1440" w:gutter="0" w:footer="0" w:header="0"/>
        </w:sectPr>
      </w:pPr>
    </w:p>
    <w:bookmarkStart w:id="306" w:name="page307"/>
    <w:bookmarkEnd w:id="306"/>
    <w:p>
      <w:pPr>
        <w:ind w:right="46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“Rating Date” </w:t>
      </w:r>
      <w:r>
        <w:rPr>
          <w:rFonts w:ascii="Times New Roman" w:cs="Times New Roman" w:eastAsia="Times New Roman" w:hAnsi="Times New Roman"/>
          <w:sz w:val="17"/>
          <w:szCs w:val="17"/>
          <w:color w:val="auto"/>
        </w:rPr>
        <w:t>means that date which is 90 days prior to the earlier of (x) a Change of Control and (y) a public notice of the occurrence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of Control or of the intention by the Company or any other Person or Persons to effect a Change of Control.</w:t>
      </w:r>
    </w:p>
    <w:p>
      <w:pPr>
        <w:spacing w:after="0" w:line="142" w:lineRule="exact"/>
        <w:rPr>
          <w:sz w:val="20"/>
          <w:szCs w:val="20"/>
          <w:color w:val="auto"/>
        </w:rPr>
      </w:pPr>
    </w:p>
    <w:p>
      <w:pPr>
        <w:ind w:right="12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“Ratings Decline” </w:t>
      </w:r>
      <w:r>
        <w:rPr>
          <w:rFonts w:ascii="Times New Roman" w:cs="Times New Roman" w:eastAsia="Times New Roman" w:hAnsi="Times New Roman"/>
          <w:sz w:val="17"/>
          <w:szCs w:val="17"/>
          <w:color w:val="auto"/>
        </w:rPr>
        <w:t>means the occurrence on, or within six months after, the date, or public notice of the occurrence of any of the events set forth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clauses (1) to (4) of the definition of Change of Control or the announcement by the Company or any other Person or Persons of the intention by the Company or such other Person or Persons to effect a Change of Control (which period will be extended so long as the rating of the Notes is under publicly announced consideration for possible downgrade by any of the Rating Agencies) of any of the events listed below:</w:t>
      </w:r>
    </w:p>
    <w:p>
      <w:pPr>
        <w:spacing w:after="0" w:line="63" w:lineRule="exact"/>
        <w:rPr>
          <w:sz w:val="20"/>
          <w:szCs w:val="20"/>
          <w:color w:val="auto"/>
        </w:rPr>
      </w:pPr>
    </w:p>
    <w:p>
      <w:pPr>
        <w:ind w:left="420" w:right="140" w:firstLine="409"/>
        <w:spacing w:after="0" w:line="295" w:lineRule="auto"/>
        <w:rPr>
          <w:sz w:val="20"/>
          <w:szCs w:val="20"/>
          <w:color w:val="auto"/>
        </w:rPr>
      </w:pPr>
      <w:r>
        <w:rPr>
          <w:rFonts w:ascii="Times New Roman" w:cs="Times New Roman" w:eastAsia="Times New Roman" w:hAnsi="Times New Roman"/>
          <w:sz w:val="17"/>
          <w:szCs w:val="17"/>
          <w:color w:val="auto"/>
        </w:rPr>
        <w:t>(1)  in the event either the Notes or the Company is rated by two Rating Agencies on the Rating Date as Investment Grade, such rating of the Notes or the Company by either such Rating Agency shall be below Investment Grade;</w:t>
      </w:r>
    </w:p>
    <w:p>
      <w:pPr>
        <w:spacing w:after="0" w:line="42" w:lineRule="exact"/>
        <w:rPr>
          <w:sz w:val="20"/>
          <w:szCs w:val="20"/>
          <w:color w:val="auto"/>
        </w:rPr>
      </w:pPr>
    </w:p>
    <w:p>
      <w:pPr>
        <w:jc w:val="both"/>
        <w:ind w:left="420" w:right="200" w:firstLine="409"/>
        <w:spacing w:after="0" w:line="295" w:lineRule="auto"/>
        <w:rPr>
          <w:sz w:val="20"/>
          <w:szCs w:val="20"/>
          <w:color w:val="auto"/>
        </w:rPr>
      </w:pPr>
      <w:r>
        <w:rPr>
          <w:rFonts w:ascii="Times New Roman" w:cs="Times New Roman" w:eastAsia="Times New Roman" w:hAnsi="Times New Roman"/>
          <w:sz w:val="17"/>
          <w:szCs w:val="17"/>
          <w:color w:val="auto"/>
        </w:rPr>
        <w:t>(2)  in the event either the Notes or the Company is rated by one, and only one, of the Rating Agencies on the Rating Date as Investment Grade, such rating of the Notes or the Company by such Rating Agency shall be below Investment Grade; or</w:t>
      </w:r>
    </w:p>
    <w:p>
      <w:pPr>
        <w:spacing w:after="0" w:line="42" w:lineRule="exact"/>
        <w:rPr>
          <w:sz w:val="20"/>
          <w:szCs w:val="20"/>
          <w:color w:val="auto"/>
        </w:rPr>
      </w:pPr>
    </w:p>
    <w:p>
      <w:pPr>
        <w:jc w:val="both"/>
        <w:ind w:left="420" w:right="200" w:firstLine="409"/>
        <w:spacing w:after="0" w:line="276" w:lineRule="auto"/>
        <w:rPr>
          <w:sz w:val="20"/>
          <w:szCs w:val="20"/>
          <w:color w:val="auto"/>
        </w:rPr>
      </w:pPr>
      <w:r>
        <w:rPr>
          <w:rFonts w:ascii="Times New Roman" w:cs="Times New Roman" w:eastAsia="Times New Roman" w:hAnsi="Times New Roman"/>
          <w:sz w:val="17"/>
          <w:szCs w:val="17"/>
          <w:color w:val="auto"/>
        </w:rPr>
        <w:t>(3)  in the event either the Notes or the Company is rated below Investment Grade by any two Rating Agencies on the Rating Date, such rating of the Notes or the Company by either Rating Agency shall be decreased by one or more gradations (including gradations within Rating Categories as well as between Rating Categories);</w:t>
      </w:r>
    </w:p>
    <w:p>
      <w:pPr>
        <w:spacing w:after="0" w:line="16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for a decline that occurs during the review period subsequent to the initial occurrence, public notice or notice of intention, such decline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only qualify as a Ratings Decline if (i) such Rating Agencies’ published report refers to the Change of Control as a factor, or one of the factors in the downgrade, and (ii) such Rating Agencies have not previously affirmed their ratings following the initial occurrence, public notice or notice of intention.</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“Regulation S” </w:t>
      </w:r>
      <w:r>
        <w:rPr>
          <w:rFonts w:ascii="Times New Roman" w:cs="Times New Roman" w:eastAsia="Times New Roman" w:hAnsi="Times New Roman"/>
          <w:sz w:val="17"/>
          <w:szCs w:val="17"/>
          <w:color w:val="auto"/>
        </w:rPr>
        <w:t>means Regulation S promulgated under the Securities Act.</w:t>
      </w:r>
    </w:p>
    <w:p>
      <w:pPr>
        <w:spacing w:after="0" w:line="223" w:lineRule="exact"/>
        <w:rPr>
          <w:sz w:val="20"/>
          <w:szCs w:val="20"/>
          <w:color w:val="auto"/>
        </w:rPr>
      </w:pPr>
    </w:p>
    <w:p>
      <w:pPr>
        <w:ind w:right="4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“Regulation S Global Note” </w:t>
      </w:r>
      <w:r>
        <w:rPr>
          <w:rFonts w:ascii="Times New Roman" w:cs="Times New Roman" w:eastAsia="Times New Roman" w:hAnsi="Times New Roman"/>
          <w:sz w:val="17"/>
          <w:szCs w:val="17"/>
          <w:color w:val="auto"/>
        </w:rPr>
        <w:t>means a Global Note substantially in the form of Exhibit A hereto bearing the Global Note Legend and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“Related Party” means:</w:t>
      </w:r>
    </w:p>
    <w:p>
      <w:pPr>
        <w:spacing w:after="0" w:line="120" w:lineRule="exact"/>
        <w:rPr>
          <w:sz w:val="20"/>
          <w:szCs w:val="20"/>
          <w:color w:val="auto"/>
        </w:rPr>
      </w:pPr>
    </w:p>
    <w:p>
      <w:pPr>
        <w:ind w:left="420" w:right="500" w:firstLine="409"/>
        <w:spacing w:after="0" w:line="295" w:lineRule="auto"/>
        <w:rPr>
          <w:sz w:val="20"/>
          <w:szCs w:val="20"/>
          <w:color w:val="auto"/>
        </w:rPr>
      </w:pPr>
      <w:r>
        <w:rPr>
          <w:rFonts w:ascii="Times New Roman" w:cs="Times New Roman" w:eastAsia="Times New Roman" w:hAnsi="Times New Roman"/>
          <w:sz w:val="17"/>
          <w:szCs w:val="17"/>
          <w:color w:val="auto"/>
        </w:rPr>
        <w:t>(1)  any controlling stockholder, 80% (or more) owned Subsidiary, or immediate family member (in the case of an individual) of the Sponsor; or</w:t>
      </w:r>
    </w:p>
    <w:p>
      <w:pPr>
        <w:spacing w:after="0" w:line="42" w:lineRule="exact"/>
        <w:rPr>
          <w:sz w:val="20"/>
          <w:szCs w:val="20"/>
          <w:color w:val="auto"/>
        </w:rPr>
      </w:pPr>
    </w:p>
    <w:p>
      <w:pPr>
        <w:ind w:left="420" w:right="20" w:firstLine="409"/>
        <w:spacing w:after="0" w:line="276" w:lineRule="auto"/>
        <w:rPr>
          <w:sz w:val="20"/>
          <w:szCs w:val="20"/>
          <w:color w:val="auto"/>
        </w:rPr>
      </w:pPr>
      <w:r>
        <w:rPr>
          <w:rFonts w:ascii="Times New Roman" w:cs="Times New Roman" w:eastAsia="Times New Roman" w:hAnsi="Times New Roman"/>
          <w:sz w:val="17"/>
          <w:szCs w:val="17"/>
          <w:color w:val="auto"/>
        </w:rPr>
        <w:t>(2)  any trust, corporation, partnership, limited liability company or other entity, the beneficiaries, stockholders, partners, members, owners or Persons beneficially holding an 80% or more controlling interest of which consist of the Sponsor and/or such other Persons referred to in the immediately preceding clause (1).</w:t>
      </w:r>
    </w:p>
    <w:p>
      <w:pPr>
        <w:spacing w:after="0" w:line="55"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“Responsible Officer” </w:t>
      </w:r>
      <w:r>
        <w:rPr>
          <w:rFonts w:ascii="Times New Roman" w:cs="Times New Roman" w:eastAsia="Times New Roman" w:hAnsi="Times New Roman"/>
          <w:sz w:val="17"/>
          <w:szCs w:val="17"/>
          <w:color w:val="auto"/>
        </w:rPr>
        <w:t>when used with respect to the Trustee, means any officer within the Corporate Trust Office of the Trustee (or any successor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Trustee)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20"/>
          </w:cols>
          <w:pgMar w:left="620" w:top="262" w:right="659" w:bottom="1440" w:gutter="0" w:footer="0" w:header="0"/>
        </w:sectPr>
      </w:pPr>
    </w:p>
    <w:bookmarkStart w:id="307" w:name="page308"/>
    <w:bookmarkEnd w:id="307"/>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“Restricted Definitive Note” </w:t>
      </w:r>
      <w:r>
        <w:rPr>
          <w:rFonts w:ascii="Times New Roman" w:cs="Times New Roman" w:eastAsia="Times New Roman" w:hAnsi="Times New Roman"/>
          <w:sz w:val="17"/>
          <w:szCs w:val="17"/>
          <w:color w:val="auto"/>
        </w:rPr>
        <w:t>means a Definitive Note bearing the Private Placement Legend.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“Restricted Global Note” </w:t>
      </w:r>
      <w:r>
        <w:rPr>
          <w:rFonts w:ascii="Times New Roman" w:cs="Times New Roman" w:eastAsia="Times New Roman" w:hAnsi="Times New Roman"/>
          <w:sz w:val="17"/>
          <w:szCs w:val="17"/>
          <w:color w:val="auto"/>
        </w:rPr>
        <w:t>means a Global Note bearing the Private Placement Legend.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“Restricted Period” </w:t>
      </w:r>
      <w:r>
        <w:rPr>
          <w:rFonts w:ascii="Times New Roman" w:cs="Times New Roman" w:eastAsia="Times New Roman" w:hAnsi="Times New Roman"/>
          <w:sz w:val="17"/>
          <w:szCs w:val="17"/>
          <w:color w:val="auto"/>
        </w:rPr>
        <w:t>means the 40-day distribution compliance period as defined in Regulation 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“Rule 144” </w:t>
      </w:r>
      <w:r>
        <w:rPr>
          <w:rFonts w:ascii="Times New Roman" w:cs="Times New Roman" w:eastAsia="Times New Roman" w:hAnsi="Times New Roman"/>
          <w:sz w:val="17"/>
          <w:szCs w:val="17"/>
          <w:color w:val="auto"/>
        </w:rPr>
        <w:t>means Rule 144 promulgated under the Securities Act.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“Rule 144A” </w:t>
      </w:r>
      <w:r>
        <w:rPr>
          <w:rFonts w:ascii="Times New Roman" w:cs="Times New Roman" w:eastAsia="Times New Roman" w:hAnsi="Times New Roman"/>
          <w:sz w:val="17"/>
          <w:szCs w:val="17"/>
          <w:color w:val="auto"/>
        </w:rPr>
        <w:t>means Rule 144A promulgated under the Securities Act.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“Rule 903” </w:t>
      </w:r>
      <w:r>
        <w:rPr>
          <w:rFonts w:ascii="Times New Roman" w:cs="Times New Roman" w:eastAsia="Times New Roman" w:hAnsi="Times New Roman"/>
          <w:sz w:val="17"/>
          <w:szCs w:val="17"/>
          <w:color w:val="auto"/>
        </w:rPr>
        <w:t>means Rule 903 promulgated under the Securities Act.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“Rule 904” </w:t>
      </w:r>
      <w:r>
        <w:rPr>
          <w:rFonts w:ascii="Times New Roman" w:cs="Times New Roman" w:eastAsia="Times New Roman" w:hAnsi="Times New Roman"/>
          <w:sz w:val="17"/>
          <w:szCs w:val="17"/>
          <w:color w:val="auto"/>
        </w:rPr>
        <w:t>means Rule 904 promulgated under the Securities Act.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“S&amp;P” </w:t>
      </w:r>
      <w:r>
        <w:rPr>
          <w:rFonts w:ascii="Times New Roman" w:cs="Times New Roman" w:eastAsia="Times New Roman" w:hAnsi="Times New Roman"/>
          <w:sz w:val="17"/>
          <w:szCs w:val="17"/>
          <w:color w:val="auto"/>
        </w:rPr>
        <w:t>means Standard &amp; Poor’s Ratings Group and any of its successors.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“SEC” </w:t>
      </w:r>
      <w:r>
        <w:rPr>
          <w:rFonts w:ascii="Times New Roman" w:cs="Times New Roman" w:eastAsia="Times New Roman" w:hAnsi="Times New Roman"/>
          <w:sz w:val="17"/>
          <w:szCs w:val="17"/>
          <w:color w:val="auto"/>
        </w:rPr>
        <w:t>means the U.S. Securities and Exchange Commission.</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“Securities Act” </w:t>
      </w:r>
      <w:r>
        <w:rPr>
          <w:rFonts w:ascii="Times New Roman" w:cs="Times New Roman" w:eastAsia="Times New Roman" w:hAnsi="Times New Roman"/>
          <w:sz w:val="17"/>
          <w:szCs w:val="17"/>
          <w:color w:val="auto"/>
        </w:rPr>
        <w:t>means the Securities Act of 1933, as amended, and the rules and regulations of the SEC promulgated thereunder.</w:t>
      </w:r>
    </w:p>
    <w:p>
      <w:pPr>
        <w:spacing w:after="0" w:line="223" w:lineRule="exact"/>
        <w:rPr>
          <w:sz w:val="20"/>
          <w:szCs w:val="20"/>
          <w:color w:val="auto"/>
        </w:rPr>
      </w:pPr>
    </w:p>
    <w:p>
      <w:pPr>
        <w:ind w:firstLine="4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“Senior Credit Agreement” </w:t>
      </w:r>
      <w:r>
        <w:rPr>
          <w:rFonts w:ascii="Times New Roman" w:cs="Times New Roman" w:eastAsia="Times New Roman" w:hAnsi="Times New Roman"/>
          <w:sz w:val="17"/>
          <w:szCs w:val="17"/>
          <w:color w:val="auto"/>
        </w:rPr>
        <w:t>means the HK$13.65 billion (equivalent to US$1.75 billion) senior secured credit facilities agreement dated June 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2015, entered into by Melco Resorts Macau, as borrower, comprising (i) a Hong Kong dollar term loan facility of HK$3.90 billion (equivalent to US$500.0 million) with a term of six years and (ii) a HK$9.75 billion (equivalent to US$1.25 billion) revolving credit facility, and following the repayment of all outstanding loan amounts, together with accrued interest and associated costs on May 7, 2020, other than the HK$1.0 million (equivalent to US$0.1 million) which remains outstanding under the term loan facility, and the HK$1.0 million (equivalent to US$0.1 million) revolving credit facility commitment which remains available under the revolving credit facility, with a maturity date extended to June 24, 2026, all other commitments under the Senior Credit Agreement were canceled, and as may be further amended, modified or extended from time to time in compliance with the terms of this Indenture, and any refinancing thereof.</w:t>
      </w:r>
    </w:p>
    <w:p>
      <w:pPr>
        <w:spacing w:after="0" w:line="175"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“Senior Revolving Facility Agreement” </w:t>
      </w:r>
      <w:r>
        <w:rPr>
          <w:rFonts w:ascii="Times New Roman" w:cs="Times New Roman" w:eastAsia="Times New Roman" w:hAnsi="Times New Roman"/>
          <w:sz w:val="17"/>
          <w:szCs w:val="17"/>
          <w:color w:val="auto"/>
        </w:rPr>
        <w:t>means the senior revolving credit facility entered into pursuant to a facility agreement dated April 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between, among others, MCO Nominee One Limited as borrower and Bank of China Limited, Macau Branch, Bank of Communications Co., Ltd. Macau Branch and Morgan Stanley Senior Funding, Inc., as joint global coordinators, in total amount of HK$14.85 billion (equivalent to US$1.92 billion), as amended and restated pursuant to amendment and restatement agreements dated June 29, 2023 and April 8, 2024 including an extension of the maturity date to April 29, 2027, and an increase of the overall commitments by HK$387.5 million (equivalent to US$49.8 million) to</w:t>
      </w:r>
    </w:p>
    <w:p>
      <w:pPr>
        <w:spacing w:after="0" w:line="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HK$15.24 billion (equivalent to US$1.96 billion) pursuant to the establishment of an incremental facility in February 2025, and any incremental facilities thereunder, as such agreement may be further amended, modified or extended from time to time in compliance with the terms of this Indenture, and any refinancing thereof.</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“SGX-ST” </w:t>
      </w:r>
      <w:r>
        <w:rPr>
          <w:rFonts w:ascii="Times New Roman" w:cs="Times New Roman" w:eastAsia="Times New Roman" w:hAnsi="Times New Roman"/>
          <w:sz w:val="17"/>
          <w:szCs w:val="17"/>
          <w:color w:val="auto"/>
        </w:rPr>
        <w:t>means the Singapore Exchange Securities Trading Limited or its successor.</w:t>
      </w:r>
    </w:p>
    <w:p>
      <w:pPr>
        <w:spacing w:after="0" w:line="223" w:lineRule="exact"/>
        <w:rPr>
          <w:sz w:val="20"/>
          <w:szCs w:val="20"/>
          <w:color w:val="auto"/>
        </w:rPr>
      </w:pPr>
    </w:p>
    <w:p>
      <w:pPr>
        <w:ind w:right="20" w:firstLine="42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“Shareholder Subordinated Debt” </w:t>
      </w:r>
      <w:r>
        <w:rPr>
          <w:rFonts w:ascii="Times New Roman" w:cs="Times New Roman" w:eastAsia="Times New Roman" w:hAnsi="Times New Roman"/>
          <w:sz w:val="17"/>
          <w:szCs w:val="17"/>
          <w:color w:val="auto"/>
        </w:rPr>
        <w:t>means, collectively, any debt provided to the Company by any direct or indirect parent holding company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(or the Sponsor),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Shareholder Subordinated Debt:</w:t>
      </w:r>
    </w:p>
    <w:p>
      <w:pPr>
        <w:spacing w:after="0" w:line="63" w:lineRule="exact"/>
        <w:rPr>
          <w:sz w:val="20"/>
          <w:szCs w:val="20"/>
          <w:color w:val="auto"/>
        </w:rPr>
      </w:pPr>
    </w:p>
    <w:p>
      <w:pPr>
        <w:jc w:val="both"/>
        <w:ind w:left="420" w:firstLine="409"/>
        <w:spacing w:after="0" w:line="276" w:lineRule="auto"/>
        <w:rPr>
          <w:sz w:val="20"/>
          <w:szCs w:val="20"/>
          <w:color w:val="auto"/>
        </w:rPr>
      </w:pPr>
      <w:r>
        <w:rPr>
          <w:rFonts w:ascii="Times New Roman" w:cs="Times New Roman" w:eastAsia="Times New Roman" w:hAnsi="Times New Roman"/>
          <w:sz w:val="17"/>
          <w:szCs w:val="17"/>
          <w:color w:val="auto"/>
        </w:rPr>
        <w:t>(1)  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20"/>
          </w:cols>
          <w:pgMar w:left="620" w:top="263" w:right="659" w:bottom="1440" w:gutter="0" w:footer="0" w:header="0"/>
        </w:sectPr>
      </w:pPr>
    </w:p>
    <w:bookmarkStart w:id="308" w:name="page309"/>
    <w:bookmarkEnd w:id="308"/>
    <w:p>
      <w:pPr>
        <w:ind w:left="420" w:right="60"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  does not (including upon the happening of any event) require the payment of cash interest prior to the first anniversary of the maturity of the Notes;</w:t>
      </w:r>
    </w:p>
    <w:p>
      <w:pPr>
        <w:spacing w:after="0" w:line="42" w:lineRule="exact"/>
        <w:rPr>
          <w:sz w:val="20"/>
          <w:szCs w:val="20"/>
          <w:color w:val="auto"/>
        </w:rPr>
      </w:pPr>
    </w:p>
    <w:p>
      <w:pPr>
        <w:ind w:left="420" w:right="20" w:firstLine="409"/>
        <w:spacing w:after="0" w:line="276" w:lineRule="auto"/>
        <w:rPr>
          <w:sz w:val="20"/>
          <w:szCs w:val="20"/>
          <w:color w:val="auto"/>
        </w:rPr>
      </w:pPr>
      <w:r>
        <w:rPr>
          <w:rFonts w:ascii="Times New Roman" w:cs="Times New Roman" w:eastAsia="Times New Roman" w:hAnsi="Times New Roman"/>
          <w:sz w:val="17"/>
          <w:szCs w:val="17"/>
          <w:color w:val="auto"/>
        </w:rPr>
        <w:t>(3)  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57" w:lineRule="exact"/>
        <w:rPr>
          <w:sz w:val="20"/>
          <w:szCs w:val="20"/>
          <w:color w:val="auto"/>
        </w:rPr>
      </w:pPr>
    </w:p>
    <w:p>
      <w:pPr>
        <w:ind w:left="420" w:right="560" w:firstLine="409"/>
        <w:spacing w:after="0" w:line="295" w:lineRule="auto"/>
        <w:rPr>
          <w:sz w:val="20"/>
          <w:szCs w:val="20"/>
          <w:color w:val="auto"/>
        </w:rPr>
      </w:pPr>
      <w:r>
        <w:rPr>
          <w:rFonts w:ascii="Times New Roman" w:cs="Times New Roman" w:eastAsia="Times New Roman" w:hAnsi="Times New Roman"/>
          <w:sz w:val="17"/>
          <w:szCs w:val="17"/>
          <w:color w:val="auto"/>
        </w:rPr>
        <w:t>(4)  is not secured by a Lien on any assets of the Company or any of its Subsidiaries and is not guaranteed by any Subsidiary of the Company;</w:t>
      </w:r>
    </w:p>
    <w:p>
      <w:pPr>
        <w:spacing w:after="0" w:line="42" w:lineRule="exact"/>
        <w:rPr>
          <w:sz w:val="20"/>
          <w:szCs w:val="20"/>
          <w:color w:val="auto"/>
        </w:rPr>
      </w:pPr>
    </w:p>
    <w:p>
      <w:pPr>
        <w:ind w:left="420" w:right="820" w:firstLine="409"/>
        <w:spacing w:after="0" w:line="295" w:lineRule="auto"/>
        <w:rPr>
          <w:sz w:val="20"/>
          <w:szCs w:val="20"/>
          <w:color w:val="auto"/>
        </w:rPr>
      </w:pPr>
      <w:r>
        <w:rPr>
          <w:rFonts w:ascii="Times New Roman" w:cs="Times New Roman" w:eastAsia="Times New Roman" w:hAnsi="Times New Roman"/>
          <w:sz w:val="17"/>
          <w:szCs w:val="17"/>
          <w:color w:val="auto"/>
        </w:rPr>
        <w:t>(5)  is subordinated in right of payment to the prior payment in full in cash of the Notes in the event of any default, bankruptcy, reorganization, liquidation, winding up or other disposition of assets of the Company;</w:t>
      </w:r>
    </w:p>
    <w:p>
      <w:pPr>
        <w:spacing w:after="0" w:line="42" w:lineRule="exact"/>
        <w:rPr>
          <w:sz w:val="20"/>
          <w:szCs w:val="20"/>
          <w:color w:val="auto"/>
        </w:rPr>
      </w:pPr>
    </w:p>
    <w:p>
      <w:pPr>
        <w:ind w:left="420" w:firstLine="409"/>
        <w:spacing w:after="0" w:line="295" w:lineRule="auto"/>
        <w:rPr>
          <w:sz w:val="20"/>
          <w:szCs w:val="20"/>
          <w:color w:val="auto"/>
        </w:rPr>
      </w:pPr>
      <w:r>
        <w:rPr>
          <w:rFonts w:ascii="Times New Roman" w:cs="Times New Roman" w:eastAsia="Times New Roman" w:hAnsi="Times New Roman"/>
          <w:sz w:val="17"/>
          <w:szCs w:val="17"/>
          <w:color w:val="auto"/>
        </w:rPr>
        <w:t>(6)  does not (including upon the happening of any event) restrict the payment of amounts due in respect of the Notes or compliance by the Company with its Obligations under the Notes and this Indenture; and</w:t>
      </w:r>
    </w:p>
    <w:p>
      <w:pPr>
        <w:spacing w:after="0" w:line="42" w:lineRule="exact"/>
        <w:rPr>
          <w:sz w:val="20"/>
          <w:szCs w:val="20"/>
          <w:color w:val="auto"/>
        </w:rPr>
      </w:pPr>
    </w:p>
    <w:p>
      <w:pPr>
        <w:ind w:left="420" w:right="140" w:firstLine="409"/>
        <w:spacing w:after="0" w:line="276" w:lineRule="auto"/>
        <w:rPr>
          <w:sz w:val="20"/>
          <w:szCs w:val="20"/>
          <w:color w:val="auto"/>
        </w:rPr>
      </w:pPr>
      <w:r>
        <w:rPr>
          <w:rFonts w:ascii="Times New Roman" w:cs="Times New Roman" w:eastAsia="Times New Roman" w:hAnsi="Times New Roman"/>
          <w:sz w:val="17"/>
          <w:szCs w:val="17"/>
          <w:color w:val="auto"/>
        </w:rPr>
        <w:t>(7)  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60" w:lineRule="exact"/>
        <w:rPr>
          <w:sz w:val="20"/>
          <w:szCs w:val="20"/>
          <w:color w:val="auto"/>
        </w:rPr>
      </w:pPr>
    </w:p>
    <w:p>
      <w:pPr>
        <w:ind w:right="4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“Significant Subsidiary” </w:t>
      </w:r>
      <w:r>
        <w:rPr>
          <w:rFonts w:ascii="Times New Roman" w:cs="Times New Roman" w:eastAsia="Times New Roman" w:hAnsi="Times New Roman"/>
          <w:sz w:val="17"/>
          <w:szCs w:val="17"/>
          <w:color w:val="auto"/>
        </w:rPr>
        <w:t>means any Subsidiary that contributed at least (i) 10% of the total consolidated net income of the Company and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for the most recently completed fiscal year, or (ii) 10% of the total consolidated assets of the Company and its Subsidiaries as of the end of the most recently completed fiscal year.</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“Special Put Option Triggering Event” </w:t>
      </w:r>
      <w:r>
        <w:rPr>
          <w:rFonts w:ascii="Times New Roman" w:cs="Times New Roman" w:eastAsia="Times New Roman" w:hAnsi="Times New Roman"/>
          <w:sz w:val="17"/>
          <w:szCs w:val="17"/>
          <w:color w:val="auto"/>
        </w:rPr>
        <w:t>means:</w:t>
      </w:r>
    </w:p>
    <w:p>
      <w:pPr>
        <w:spacing w:after="0" w:line="120" w:lineRule="exact"/>
        <w:rPr>
          <w:sz w:val="20"/>
          <w:szCs w:val="20"/>
          <w:color w:val="auto"/>
        </w:rPr>
      </w:pPr>
    </w:p>
    <w:p>
      <w:pPr>
        <w:ind w:left="420" w:firstLine="409"/>
        <w:spacing w:after="0" w:line="266" w:lineRule="auto"/>
        <w:rPr>
          <w:sz w:val="20"/>
          <w:szCs w:val="20"/>
          <w:color w:val="auto"/>
        </w:rPr>
      </w:pPr>
      <w:r>
        <w:rPr>
          <w:rFonts w:ascii="Times New Roman" w:cs="Times New Roman" w:eastAsia="Times New Roman" w:hAnsi="Times New Roman"/>
          <w:sz w:val="17"/>
          <w:szCs w:val="17"/>
          <w:color w:val="auto"/>
        </w:rPr>
        <w:t>(1)  any event after which none of the Company or any Subsidiary of the Company has such licenses, concessions, subconcessions or other permits or authorizations as are necessary for the Company and its Subsidiaries to own or manage casino or gaming areas or operate casino games of fortune and chance in Macau in substantially the same manner and scope as the Company and its Subsidiaries are entitled to at the Issue Date, for a period of ten consecutive days or more, and such event has a material adverse effect on the financial condition, business, properties, or results of operations of the Company and its Subsidiaries, taken as a whole; or</w:t>
      </w:r>
    </w:p>
    <w:p>
      <w:pPr>
        <w:spacing w:after="0" w:line="67" w:lineRule="exact"/>
        <w:rPr>
          <w:sz w:val="20"/>
          <w:szCs w:val="20"/>
          <w:color w:val="auto"/>
        </w:rPr>
      </w:pPr>
    </w:p>
    <w:p>
      <w:pPr>
        <w:ind w:left="420" w:right="20" w:firstLine="409"/>
        <w:spacing w:after="0" w:line="295" w:lineRule="auto"/>
        <w:rPr>
          <w:sz w:val="20"/>
          <w:szCs w:val="20"/>
          <w:color w:val="auto"/>
        </w:rPr>
      </w:pPr>
      <w:r>
        <w:rPr>
          <w:rFonts w:ascii="Times New Roman" w:cs="Times New Roman" w:eastAsia="Times New Roman" w:hAnsi="Times New Roman"/>
          <w:sz w:val="17"/>
          <w:szCs w:val="17"/>
          <w:color w:val="auto"/>
        </w:rPr>
        <w:t>(2)  the termination, rescission, revocation or modification of any Gaming License which has had a material adverse effect on the financial condition, business, properties, or results of operations of the Company and its Subsidiaries, taken as a whole.</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“Sponsor” </w:t>
      </w:r>
      <w:r>
        <w:rPr>
          <w:rFonts w:ascii="Times New Roman" w:cs="Times New Roman" w:eastAsia="Times New Roman" w:hAnsi="Times New Roman"/>
          <w:sz w:val="17"/>
          <w:szCs w:val="17"/>
          <w:color w:val="auto"/>
        </w:rPr>
        <w:t>means Melco International Development Limited.</w:t>
      </w:r>
    </w:p>
    <w:p>
      <w:pPr>
        <w:spacing w:after="0" w:line="223" w:lineRule="exact"/>
        <w:rPr>
          <w:sz w:val="20"/>
          <w:szCs w:val="20"/>
          <w:color w:val="auto"/>
        </w:rPr>
      </w:pPr>
    </w:p>
    <w:p>
      <w:pPr>
        <w:ind w:right="8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“Stated Maturity” </w:t>
      </w:r>
      <w:r>
        <w:rPr>
          <w:rFonts w:ascii="Times New Roman" w:cs="Times New Roman" w:eastAsia="Times New Roman" w:hAnsi="Times New Roman"/>
          <w:sz w:val="17"/>
          <w:szCs w:val="17"/>
          <w:color w:val="auto"/>
        </w:rPr>
        <w:t>means, with respect to any installment of interest or principal on any series of Indebtedness, the date on which the payment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“Subsidiary” </w:t>
      </w:r>
      <w:r>
        <w:rPr>
          <w:rFonts w:ascii="Times New Roman" w:cs="Times New Roman" w:eastAsia="Times New Roman" w:hAnsi="Times New Roman"/>
          <w:sz w:val="17"/>
          <w:szCs w:val="17"/>
          <w:color w:val="auto"/>
        </w:rPr>
        <w:t>means, with respect to any specified Person:</w:t>
      </w:r>
    </w:p>
    <w:p>
      <w:pPr>
        <w:spacing w:after="0" w:line="120" w:lineRule="exact"/>
        <w:rPr>
          <w:sz w:val="20"/>
          <w:szCs w:val="20"/>
          <w:color w:val="auto"/>
        </w:rPr>
      </w:pPr>
    </w:p>
    <w:p>
      <w:pPr>
        <w:ind w:left="420" w:right="40" w:firstLine="409"/>
        <w:spacing w:after="0" w:line="268" w:lineRule="auto"/>
        <w:rPr>
          <w:sz w:val="20"/>
          <w:szCs w:val="20"/>
          <w:color w:val="auto"/>
        </w:rPr>
      </w:pPr>
      <w:r>
        <w:rPr>
          <w:rFonts w:ascii="Times New Roman" w:cs="Times New Roman" w:eastAsia="Times New Roman" w:hAnsi="Times New Roman"/>
          <w:sz w:val="17"/>
          <w:szCs w:val="17"/>
          <w:color w:val="auto"/>
        </w:rPr>
        <w:t>(1)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00"/>
          </w:cols>
          <w:pgMar w:left="620" w:top="265" w:right="679" w:bottom="1440" w:gutter="0" w:footer="0" w:header="0"/>
        </w:sectPr>
      </w:pPr>
    </w:p>
    <w:bookmarkStart w:id="309" w:name="page310"/>
    <w:bookmarkEnd w:id="309"/>
    <w:p>
      <w:pPr>
        <w:ind w:left="420" w:right="80"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5"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“Treasury Rate” </w:t>
      </w:r>
      <w:r>
        <w:rPr>
          <w:rFonts w:ascii="Times New Roman" w:cs="Times New Roman" w:eastAsia="Times New Roman" w:hAnsi="Times New Roman"/>
          <w:sz w:val="17"/>
          <w:szCs w:val="17"/>
          <w:color w:val="auto"/>
        </w:rPr>
        <w:t>means, as of any redemption date, the yield to maturity as of such redemption date of United States Treasury securities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September 24, 2028;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period from the redemption date to September 24, 2028, is less than one year, the weekly average yield on actually traded United States Treasury securities adjusted to a constant maturity of one year will be used.</w:t>
      </w:r>
    </w:p>
    <w:p>
      <w:pPr>
        <w:spacing w:after="0" w:line="173" w:lineRule="exact"/>
        <w:rPr>
          <w:sz w:val="20"/>
          <w:szCs w:val="20"/>
          <w:color w:val="auto"/>
        </w:rPr>
      </w:pPr>
    </w:p>
    <w:p>
      <w:pPr>
        <w:ind w:right="48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“Trustee” </w:t>
      </w:r>
      <w:r>
        <w:rPr>
          <w:rFonts w:ascii="Times New Roman" w:cs="Times New Roman" w:eastAsia="Times New Roman" w:hAnsi="Times New Roman"/>
          <w:sz w:val="17"/>
          <w:szCs w:val="17"/>
          <w:color w:val="auto"/>
        </w:rPr>
        <w:t>means Deutsche Bank Trust Company Americas until a successor replaces it in accordance with the applicable provisions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Indenture and thereafter means the successor serving hereunder.</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“Unrestricted Definitive Note” </w:t>
      </w:r>
      <w:r>
        <w:rPr>
          <w:rFonts w:ascii="Times New Roman" w:cs="Times New Roman" w:eastAsia="Times New Roman" w:hAnsi="Times New Roman"/>
          <w:sz w:val="17"/>
          <w:szCs w:val="17"/>
          <w:color w:val="auto"/>
        </w:rPr>
        <w:t>means a Definitive Note that does not bear and is not required to bear the Private Placement Legend.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“Unrestricted Global Note” </w:t>
      </w:r>
      <w:r>
        <w:rPr>
          <w:rFonts w:ascii="Times New Roman" w:cs="Times New Roman" w:eastAsia="Times New Roman" w:hAnsi="Times New Roman"/>
          <w:sz w:val="17"/>
          <w:szCs w:val="17"/>
          <w:color w:val="auto"/>
        </w:rPr>
        <w:t>means a Global Note that does not bear and is not required to bear the Private Placement Legend.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“U.S. Government Obligations” </w:t>
      </w:r>
      <w:r>
        <w:rPr>
          <w:rFonts w:ascii="Times New Roman" w:cs="Times New Roman" w:eastAsia="Times New Roman" w:hAnsi="Times New Roman"/>
          <w:sz w:val="17"/>
          <w:szCs w:val="17"/>
          <w:color w:val="auto"/>
        </w:rPr>
        <w:t>means securities that are:</w:t>
      </w:r>
    </w:p>
    <w:p>
      <w:pPr>
        <w:spacing w:after="0" w:line="1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direct obligations of the United States of America for the timely payment of which its full faith and credit is pledged; or</w:t>
      </w:r>
    </w:p>
    <w:p>
      <w:pPr>
        <w:spacing w:after="0" w:line="118" w:lineRule="exact"/>
        <w:rPr>
          <w:sz w:val="20"/>
          <w:szCs w:val="20"/>
          <w:color w:val="auto"/>
        </w:rPr>
      </w:pPr>
    </w:p>
    <w:p>
      <w:pPr>
        <w:ind w:left="420" w:right="80" w:firstLine="409"/>
        <w:spacing w:after="0" w:line="262" w:lineRule="auto"/>
        <w:rPr>
          <w:sz w:val="20"/>
          <w:szCs w:val="20"/>
          <w:color w:val="auto"/>
        </w:rPr>
      </w:pPr>
      <w:r>
        <w:rPr>
          <w:rFonts w:ascii="Times New Roman" w:cs="Times New Roman" w:eastAsia="Times New Roman" w:hAnsi="Times New Roman"/>
          <w:sz w:val="17"/>
          <w:szCs w:val="17"/>
          <w:color w:val="auto"/>
        </w:rPr>
        <w:t xml:space="preserve">(2)  obligations of a Person controlled or supervised by and acting as an agency or instrumentality of the United States of America, the timely payment of which is unconditionally guaranteed as a full faith and credit obligation by the United States of America, 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“U.S. Person” </w:t>
      </w:r>
      <w:r>
        <w:rPr>
          <w:rFonts w:ascii="Times New Roman" w:cs="Times New Roman" w:eastAsia="Times New Roman" w:hAnsi="Times New Roman"/>
          <w:sz w:val="17"/>
          <w:szCs w:val="17"/>
          <w:color w:val="auto"/>
        </w:rPr>
        <w:t>means a U.S. Person as defined in Rule 902(k) promulgated under the Securities Act.</w:t>
      </w:r>
    </w:p>
    <w:p>
      <w:pPr>
        <w:spacing w:after="0" w:line="223" w:lineRule="exact"/>
        <w:rPr>
          <w:sz w:val="20"/>
          <w:szCs w:val="20"/>
          <w:color w:val="auto"/>
        </w:rPr>
      </w:pPr>
    </w:p>
    <w:p>
      <w:pPr>
        <w:ind w:right="100" w:firstLine="426"/>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“Voting Stock” </w:t>
      </w:r>
      <w:r>
        <w:rPr>
          <w:rFonts w:ascii="Times New Roman" w:cs="Times New Roman" w:eastAsia="Times New Roman" w:hAnsi="Times New Roman"/>
          <w:sz w:val="17"/>
          <w:szCs w:val="17"/>
          <w:color w:val="auto"/>
        </w:rPr>
        <w:t>of any specified Person as of any date means the Capital Stock of such Person that is at the time entitled to vote in the election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Board of Directors of such Person.</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00"/>
          </w:cols>
          <w:pgMar w:left="620" w:top="264" w:right="679" w:bottom="1440" w:gutter="0" w:footer="0" w:header="0"/>
        </w:sectPr>
      </w:pPr>
    </w:p>
    <w:bookmarkStart w:id="310" w:name="page311"/>
    <w:bookmarkEnd w:id="310"/>
    <w:tbl>
      <w:tblPr>
        <w:tblLayout w:type="fixed"/>
        <w:tblInd w:w="420" w:type="dxa"/>
        <w:tblCellMar>
          <w:top w:w="0" w:type="dxa"/>
          <w:left w:w="0" w:type="dxa"/>
          <w:bottom w:w="0" w:type="dxa"/>
          <w:right w:w="0" w:type="dxa"/>
        </w:tblCellMar>
      </w:tblPr>
      <w:tr>
        <w:trPr>
          <w:trHeight w:val="22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Section 1.02   Other Definitions.</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Term</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Defined in</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80" w:type="dxa"/>
            <w:vAlign w:val="bottom"/>
            <w:gridSpan w:val="2"/>
            <w:vMerge w:val="continue"/>
          </w:tcPr>
          <w:p>
            <w:pPr>
              <w:spacing w:after="0"/>
              <w:rPr>
                <w:sz w:val="18"/>
                <w:szCs w:val="18"/>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Section</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Amounts”</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“Applicable Law”</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“Authentication Order”</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of Control Offer”</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of Control Payment”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of Control Payment Date”</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“Covenant Defeasance”</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“DTC”</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“Event of Default”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“Legal Defeasance”</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“Paying Agent”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“Registrar”</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“Relevant Jurisdiction”</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“Special Put Option Offer”</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Put Option Payment”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7"/>
          <w:szCs w:val="17"/>
          <w:i w:val="1"/>
          <w:iCs w:val="1"/>
          <w:color w:val="auto"/>
        </w:rPr>
        <w:t>Section 1.03   Rules of Construction.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Unless the context otherwise requires: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a term has the meaning assigned to it;</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an accounting term not otherwise defined has the meaning assigned to it in accordance with GAAP;</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“or” is not exclusive;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words in the singular include the plural, and in the plural include the singular;</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(5)   “will” shall be interpreted to express a command;</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(6)   provisions apply to successive events and transactions; and</w:t>
      </w:r>
    </w:p>
    <w:p>
      <w:pPr>
        <w:spacing w:after="0" w:line="118" w:lineRule="exact"/>
        <w:rPr>
          <w:sz w:val="20"/>
          <w:szCs w:val="20"/>
          <w:color w:val="auto"/>
        </w:rPr>
      </w:pPr>
    </w:p>
    <w:p>
      <w:pPr>
        <w:ind w:left="420" w:right="240" w:firstLine="409"/>
        <w:spacing w:after="0" w:line="295" w:lineRule="auto"/>
        <w:rPr>
          <w:sz w:val="20"/>
          <w:szCs w:val="20"/>
          <w:color w:val="auto"/>
        </w:rPr>
      </w:pPr>
      <w:r>
        <w:rPr>
          <w:rFonts w:ascii="Times New Roman" w:cs="Times New Roman" w:eastAsia="Times New Roman" w:hAnsi="Times New Roman"/>
          <w:sz w:val="17"/>
          <w:szCs w:val="17"/>
          <w:color w:val="auto"/>
        </w:rPr>
        <w:t>(7)  references to sections of or rules under the Securities Act will be deemed to include substitute, replacement of successor sections or rules adopted by the SEC from time to time.</w:t>
      </w:r>
    </w:p>
    <w:p>
      <w:pPr>
        <w:spacing w:after="0" w:line="35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ARTICLE 2</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THE NOTES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2.01   Form and Dating.</w:t>
      </w:r>
    </w:p>
    <w:p>
      <w:pPr>
        <w:spacing w:after="0" w:line="118"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The Notes and the Trustee’s certificate of authentication will be substantially in the form of Exhibit A hereto. The Notes may have notations, legends or endorsements required by law, stock exchange rule or usage. Each Note will be dated the date of its authentication. The Notes shall be in denominations of US$200,000 and integral multiples of US$1,000 in excess thereof.</w:t>
      </w:r>
    </w:p>
    <w:p>
      <w:pPr>
        <w:spacing w:after="0" w:line="57" w:lineRule="exact"/>
        <w:rPr>
          <w:sz w:val="20"/>
          <w:szCs w:val="20"/>
          <w:color w:val="auto"/>
        </w:rPr>
      </w:pPr>
    </w:p>
    <w:p>
      <w:pPr>
        <w:jc w:val="both"/>
        <w:ind w:right="60" w:firstLine="426"/>
        <w:spacing w:after="0" w:line="276" w:lineRule="auto"/>
        <w:rPr>
          <w:sz w:val="20"/>
          <w:szCs w:val="20"/>
          <w:color w:val="auto"/>
        </w:rPr>
      </w:pPr>
      <w:r>
        <w:rPr>
          <w:rFonts w:ascii="Times New Roman" w:cs="Times New Roman" w:eastAsia="Times New Roman" w:hAnsi="Times New Roman"/>
          <w:sz w:val="17"/>
          <w:szCs w:val="17"/>
          <w:color w:val="auto"/>
        </w:rPr>
        <w:t>The terms and provisions contained in the Notes will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20"/>
          </w:cols>
          <w:pgMar w:left="620" w:top="262" w:right="659" w:bottom="1440" w:gutter="0" w:footer="0" w:header="0"/>
        </w:sectPr>
      </w:pPr>
    </w:p>
    <w:bookmarkStart w:id="311" w:name="page312"/>
    <w:bookmarkEnd w:id="311"/>
    <w:p>
      <w:pPr>
        <w:ind w:right="80" w:firstLine="426"/>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(b)  </w:t>
      </w: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Notes issued in global form will be substantially in the form of Exhibit A hereto (including the Global Note Legend 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Registrar, at the direction of the Trustee, in accordance with instructions given by the Holder thereof as required by Section 2.06 hereof.</w:t>
      </w:r>
    </w:p>
    <w:p>
      <w:pPr>
        <w:spacing w:after="0" w:line="70" w:lineRule="exact"/>
        <w:rPr>
          <w:sz w:val="20"/>
          <w:szCs w:val="20"/>
          <w:color w:val="auto"/>
        </w:rPr>
      </w:pPr>
    </w:p>
    <w:p>
      <w:pPr>
        <w:ind w:right="160" w:firstLine="426"/>
        <w:spacing w:after="0" w:line="270"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Euroclear and Clearstream Procedures Applicable.</w:t>
      </w:r>
      <w:r>
        <w:rPr>
          <w:rFonts w:ascii="Times New Roman" w:cs="Times New Roman" w:eastAsia="Times New Roman" w:hAnsi="Times New Roman"/>
          <w:sz w:val="17"/>
          <w:szCs w:val="17"/>
          <w:color w:val="auto"/>
        </w:rPr>
        <w:t xml:space="preserve"> The provisions of the “Operating Procedures of the Euroclear System” and “Terms and Conditions Governing Use of Euroclear” and the “General Terms and Conditions—Clearstream Banking, Luxembourg” and “Customer Handbook” of Clearstream will be applicable to transfers of beneficial interests in the Regulation S Global Note that are held by Participants through Euroclear or Clearstream.</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2.02   Execution and Authentication.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least one Officer must sign the Notes for the Company by manual, electronic or facsimile signature.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an Officer whose signature is on a Note no longer holds that office at the time a Note is authenticated, the Note will nevertheless be valid.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Note will not be valid until authenticated by the manual, or electronic, signature of the Trustee.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signature will be conclusive evidence that the Note has been authenticated under this Indenture.</w:t>
      </w:r>
    </w:p>
    <w:p>
      <w:pPr>
        <w:spacing w:after="0" w:line="221" w:lineRule="exact"/>
        <w:rPr>
          <w:sz w:val="20"/>
          <w:szCs w:val="20"/>
          <w:color w:val="auto"/>
        </w:rPr>
      </w:pPr>
    </w:p>
    <w:p>
      <w:pPr>
        <w:jc w:val="both"/>
        <w:ind w:right="20" w:firstLine="426"/>
        <w:spacing w:after="0" w:line="270" w:lineRule="auto"/>
        <w:rPr>
          <w:sz w:val="20"/>
          <w:szCs w:val="20"/>
          <w:color w:val="auto"/>
        </w:rPr>
      </w:pPr>
      <w:r>
        <w:rPr>
          <w:rFonts w:ascii="Times New Roman" w:cs="Times New Roman" w:eastAsia="Times New Roman" w:hAnsi="Times New Roman"/>
          <w:sz w:val="17"/>
          <w:szCs w:val="17"/>
          <w:color w:val="auto"/>
        </w:rPr>
        <w:t>The Trustee will, upon receipt of a written order of the Company signed by an Officer (an “</w:t>
      </w:r>
      <w:r>
        <w:rPr>
          <w:rFonts w:ascii="Times New Roman" w:cs="Times New Roman" w:eastAsia="Times New Roman" w:hAnsi="Times New Roman"/>
          <w:sz w:val="17"/>
          <w:szCs w:val="17"/>
          <w:i w:val="1"/>
          <w:iCs w:val="1"/>
          <w:color w:val="auto"/>
        </w:rPr>
        <w:t>Authentication Order</w:t>
      </w:r>
      <w:r>
        <w:rPr>
          <w:rFonts w:ascii="Times New Roman" w:cs="Times New Roman" w:eastAsia="Times New Roman" w:hAnsi="Times New Roman"/>
          <w:sz w:val="17"/>
          <w:szCs w:val="17"/>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68" w:lineRule="exact"/>
        <w:rPr>
          <w:sz w:val="20"/>
          <w:szCs w:val="20"/>
          <w:color w:val="auto"/>
        </w:rPr>
      </w:pPr>
    </w:p>
    <w:p>
      <w:pPr>
        <w:jc w:val="both"/>
        <w:ind w:right="400" w:firstLine="426"/>
        <w:spacing w:after="0" w:line="276" w:lineRule="auto"/>
        <w:rPr>
          <w:sz w:val="20"/>
          <w:szCs w:val="20"/>
          <w:color w:val="auto"/>
        </w:rPr>
      </w:pPr>
      <w:r>
        <w:rPr>
          <w:rFonts w:ascii="Times New Roman" w:cs="Times New Roman" w:eastAsia="Times New Roman" w:hAnsi="Times New Roman"/>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2.03   Registrar and Paying Agent.</w:t>
      </w:r>
    </w:p>
    <w:p>
      <w:pPr>
        <w:spacing w:after="0" w:line="118"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The Company will maintain an office or agency where Notes may be presented for registration of transfer or for exchange (“</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 and an office or agency where Notes may be presented for payment (“</w:t>
      </w:r>
      <w:r>
        <w:rPr>
          <w:rFonts w:ascii="Times New Roman" w:cs="Times New Roman" w:eastAsia="Times New Roman" w:hAnsi="Times New Roman"/>
          <w:sz w:val="17"/>
          <w:szCs w:val="17"/>
          <w:i w:val="1"/>
          <w:iCs w:val="1"/>
          <w:color w:val="auto"/>
        </w:rPr>
        <w:t>Paying Agent</w:t>
      </w:r>
      <w:r>
        <w:rPr>
          <w:rFonts w:ascii="Times New Roman" w:cs="Times New Roman" w:eastAsia="Times New Roman" w:hAnsi="Times New Roman"/>
          <w:sz w:val="17"/>
          <w:szCs w:val="17"/>
          <w:color w:val="auto"/>
        </w:rPr>
        <w:t>”). The Company will also maintain a transfer agent (the “</w:t>
      </w:r>
      <w:r>
        <w:rPr>
          <w:rFonts w:ascii="Times New Roman" w:cs="Times New Roman" w:eastAsia="Times New Roman" w:hAnsi="Times New Roman"/>
          <w:sz w:val="17"/>
          <w:szCs w:val="17"/>
          <w:i w:val="1"/>
          <w:iCs w:val="1"/>
          <w:color w:val="auto"/>
        </w:rPr>
        <w:t>Transfer Agent</w:t>
      </w:r>
      <w:r>
        <w:rPr>
          <w:rFonts w:ascii="Times New Roman" w:cs="Times New Roman" w:eastAsia="Times New Roman" w:hAnsi="Times New Roman"/>
          <w:sz w:val="17"/>
          <w:szCs w:val="17"/>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Transfer Agent or Registrar.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40"/>
          </w:cols>
          <w:pgMar w:left="620" w:top="262" w:right="639" w:bottom="1440" w:gutter="0" w:footer="0" w:header="0"/>
        </w:sectPr>
      </w:pPr>
    </w:p>
    <w:bookmarkStart w:id="312" w:name="page313"/>
    <w:bookmarkEnd w:id="31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initially appoints The Depository Trust Company (“</w:t>
      </w:r>
      <w:r>
        <w:rPr>
          <w:rFonts w:ascii="Times New Roman" w:cs="Times New Roman" w:eastAsia="Times New Roman" w:hAnsi="Times New Roman"/>
          <w:sz w:val="17"/>
          <w:szCs w:val="17"/>
          <w:i w:val="1"/>
          <w:iCs w:val="1"/>
          <w:color w:val="auto"/>
        </w:rPr>
        <w:t>DTC</w:t>
      </w:r>
      <w:r>
        <w:rPr>
          <w:rFonts w:ascii="Times New Roman" w:cs="Times New Roman" w:eastAsia="Times New Roman" w:hAnsi="Times New Roman"/>
          <w:sz w:val="17"/>
          <w:szCs w:val="17"/>
          <w:color w:val="auto"/>
        </w:rPr>
        <w:t>”) to act as Depositary with respect to the Global Notes.</w:t>
      </w:r>
    </w:p>
    <w:p>
      <w:pPr>
        <w:spacing w:after="0" w:line="225" w:lineRule="exact"/>
        <w:rPr>
          <w:sz w:val="20"/>
          <w:szCs w:val="20"/>
          <w:color w:val="auto"/>
        </w:rPr>
      </w:pPr>
    </w:p>
    <w:p>
      <w:pPr>
        <w:ind w:right="200" w:firstLine="426"/>
        <w:spacing w:after="0" w:line="295" w:lineRule="auto"/>
        <w:rPr>
          <w:sz w:val="20"/>
          <w:szCs w:val="20"/>
          <w:color w:val="auto"/>
        </w:rPr>
      </w:pPr>
      <w:r>
        <w:rPr>
          <w:rFonts w:ascii="Times New Roman" w:cs="Times New Roman" w:eastAsia="Times New Roman" w:hAnsi="Times New Roman"/>
          <w:sz w:val="17"/>
          <w:szCs w:val="17"/>
          <w:color w:val="auto"/>
        </w:rPr>
        <w:t>The Company initially appoints Deutsche Bank Trust Company Americas to act as the Registrar, Transfer Agent and Paying Agent and to act as Custodian, with respect to the Global Notes.</w:t>
      </w:r>
    </w:p>
    <w:p>
      <w:pPr>
        <w:spacing w:after="0" w:line="147" w:lineRule="exact"/>
        <w:rPr>
          <w:sz w:val="20"/>
          <w:szCs w:val="20"/>
          <w:color w:val="auto"/>
        </w:rPr>
      </w:pPr>
    </w:p>
    <w:p>
      <w:pPr>
        <w:ind w:firstLine="426"/>
        <w:spacing w:after="0" w:line="265" w:lineRule="auto"/>
        <w:rPr>
          <w:sz w:val="20"/>
          <w:szCs w:val="20"/>
          <w:color w:val="auto"/>
        </w:rPr>
      </w:pPr>
      <w:r>
        <w:rPr>
          <w:rFonts w:ascii="Times New Roman" w:cs="Times New Roman" w:eastAsia="Times New Roman" w:hAnsi="Times New Roman"/>
          <w:sz w:val="17"/>
          <w:szCs w:val="17"/>
          <w:color w:val="auto"/>
        </w:rPr>
        <w:t>If and for so long as the Notes are listed on the SGX-ST, and the rules of the SGX-ST so require, in the event that the Global Notes are exchanged for certificated Notes, the Company will appoint and maintain a paying agent in Singapore where the certificated Notes may be presented or surrendered for payment or redemption. In the event that the Global Notes are exchanged for certificated Notes, an announcement of such exchange shall be made by or on behalf of the Company through the SGX-ST and such announcement will include all material information with respect to the delivery of the certificated Notes, including details of the Singapore paying agent by way of an announcement to the SGX-ST, for so long as the Notes are listed on the SGX-ST.</w:t>
      </w: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2.04   Paying Agent to Hold Money in Trust.</w:t>
      </w:r>
    </w:p>
    <w:p>
      <w:pPr>
        <w:spacing w:after="0" w:line="120" w:lineRule="exact"/>
        <w:rPr>
          <w:sz w:val="20"/>
          <w:szCs w:val="20"/>
          <w:color w:val="auto"/>
        </w:rPr>
      </w:pPr>
    </w:p>
    <w:p>
      <w:pPr>
        <w:ind w:right="120" w:firstLine="426"/>
        <w:spacing w:after="0" w:line="262" w:lineRule="auto"/>
        <w:rPr>
          <w:sz w:val="20"/>
          <w:szCs w:val="20"/>
          <w:color w:val="auto"/>
        </w:rPr>
      </w:pPr>
      <w:r>
        <w:rPr>
          <w:rFonts w:ascii="Times New Roman" w:cs="Times New Roman" w:eastAsia="Times New Roman" w:hAnsi="Times New Roman"/>
          <w:sz w:val="17"/>
          <w:szCs w:val="17"/>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3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2.05   Holder Lists.</w:t>
      </w:r>
    </w:p>
    <w:p>
      <w:pPr>
        <w:spacing w:after="0" w:line="120" w:lineRule="exact"/>
        <w:rPr>
          <w:sz w:val="20"/>
          <w:szCs w:val="20"/>
          <w:color w:val="auto"/>
        </w:rPr>
      </w:pPr>
    </w:p>
    <w:p>
      <w:pPr>
        <w:ind w:right="120" w:firstLine="426"/>
        <w:spacing w:after="0" w:line="269" w:lineRule="auto"/>
        <w:rPr>
          <w:sz w:val="20"/>
          <w:szCs w:val="20"/>
          <w:color w:val="auto"/>
        </w:rPr>
      </w:pPr>
      <w:r>
        <w:rPr>
          <w:rFonts w:ascii="Times New Roman" w:cs="Times New Roman" w:eastAsia="Times New Roman" w:hAnsi="Times New Roman"/>
          <w:sz w:val="17"/>
          <w:szCs w:val="17"/>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2.06   Transfer and Exchange.</w:t>
      </w:r>
    </w:p>
    <w:p>
      <w:pPr>
        <w:spacing w:after="0" w:line="118" w:lineRule="exact"/>
        <w:rPr>
          <w:sz w:val="20"/>
          <w:szCs w:val="20"/>
          <w:color w:val="auto"/>
        </w:rPr>
      </w:pPr>
    </w:p>
    <w:p>
      <w:pPr>
        <w:ind w:right="280" w:firstLine="426"/>
        <w:spacing w:after="0" w:line="27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color w:val="auto"/>
        </w:rPr>
        <w:t>Transfer and Exchange of Global Notes</w:t>
      </w:r>
      <w:r>
        <w:rPr>
          <w:rFonts w:ascii="Times New Roman" w:cs="Times New Roman" w:eastAsia="Times New Roman" w:hAnsi="Times New Roman"/>
          <w:sz w:val="17"/>
          <w:szCs w:val="17"/>
          <w:color w:val="auto"/>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57" w:lineRule="exact"/>
        <w:rPr>
          <w:sz w:val="20"/>
          <w:szCs w:val="20"/>
          <w:color w:val="auto"/>
        </w:rPr>
      </w:pPr>
    </w:p>
    <w:p>
      <w:pPr>
        <w:ind w:left="420" w:right="120" w:firstLine="409"/>
        <w:spacing w:after="0" w:line="276" w:lineRule="auto"/>
        <w:rPr>
          <w:sz w:val="20"/>
          <w:szCs w:val="20"/>
          <w:color w:val="auto"/>
        </w:rPr>
      </w:pPr>
      <w:r>
        <w:rPr>
          <w:rFonts w:ascii="Times New Roman" w:cs="Times New Roman" w:eastAsia="Times New Roman" w:hAnsi="Times New Roman"/>
          <w:sz w:val="17"/>
          <w:szCs w:val="17"/>
          <w:color w:val="auto"/>
        </w:rPr>
        <w:t>(1)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57" w:lineRule="exact"/>
        <w:rPr>
          <w:sz w:val="20"/>
          <w:szCs w:val="20"/>
          <w:color w:val="auto"/>
        </w:rPr>
      </w:pPr>
    </w:p>
    <w:p>
      <w:pPr>
        <w:ind w:left="420" w:right="460" w:firstLine="409"/>
        <w:spacing w:after="0" w:line="295" w:lineRule="auto"/>
        <w:rPr>
          <w:sz w:val="20"/>
          <w:szCs w:val="20"/>
          <w:color w:val="auto"/>
        </w:rPr>
      </w:pPr>
      <w:r>
        <w:rPr>
          <w:rFonts w:ascii="Times New Roman" w:cs="Times New Roman" w:eastAsia="Times New Roman" w:hAnsi="Times New Roman"/>
          <w:sz w:val="17"/>
          <w:szCs w:val="17"/>
          <w:color w:val="auto"/>
        </w:rPr>
        <w:t>(2)  the Company in its sole discretion determines that the Global Notes (in whole but not in part) should be exchanged for Definitive Notes and delivers a written notice to such effect to the Trustee; or</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there has occurred and is continuing a Default or Event of Default with respect to the Notes.</w:t>
      </w:r>
    </w:p>
    <w:p>
      <w:pPr>
        <w:spacing w:after="0" w:line="1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60"/>
          </w:cols>
          <w:pgMar w:left="620" w:top="263" w:right="619" w:bottom="1440" w:gutter="0" w:footer="0" w:header="0"/>
        </w:sectPr>
      </w:pPr>
    </w:p>
    <w:bookmarkStart w:id="313" w:name="page314"/>
    <w:bookmarkEnd w:id="313"/>
    <w:p>
      <w:pPr>
        <w:ind w:firstLine="426"/>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or (f) hereof.</w:t>
      </w:r>
    </w:p>
    <w:p>
      <w:pPr>
        <w:spacing w:after="0" w:line="98" w:lineRule="exact"/>
        <w:rPr>
          <w:sz w:val="20"/>
          <w:szCs w:val="20"/>
          <w:color w:val="auto"/>
        </w:rPr>
      </w:pPr>
    </w:p>
    <w:p>
      <w:pPr>
        <w:ind w:right="40" w:firstLine="426"/>
        <w:spacing w:after="0" w:line="267"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Transfer and Exchange of Beneficial Interests in the Global Notes</w:t>
      </w:r>
      <w:r>
        <w:rPr>
          <w:rFonts w:ascii="Times New Roman" w:cs="Times New Roman" w:eastAsia="Times New Roman" w:hAnsi="Times New Roman"/>
          <w:sz w:val="17"/>
          <w:szCs w:val="17"/>
          <w:color w:val="auto"/>
        </w:rPr>
        <w:t>. The transfer and exchange of beneficial 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63" w:lineRule="exact"/>
        <w:rPr>
          <w:sz w:val="20"/>
          <w:szCs w:val="20"/>
          <w:color w:val="auto"/>
        </w:rPr>
      </w:pPr>
    </w:p>
    <w:p>
      <w:pPr>
        <w:ind w:left="420" w:right="20" w:firstLine="409"/>
        <w:spacing w:after="0" w:line="263"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Transfer of Beneficial Interests in the Same Global Note</w:t>
      </w:r>
      <w:r>
        <w:rPr>
          <w:rFonts w:ascii="Times New Roman" w:cs="Times New Roman" w:eastAsia="Times New Roman" w:hAnsi="Times New Roman"/>
          <w:sz w:val="17"/>
          <w:szCs w:val="17"/>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69" w:lineRule="exact"/>
        <w:rPr>
          <w:sz w:val="20"/>
          <w:szCs w:val="20"/>
          <w:color w:val="auto"/>
        </w:rPr>
      </w:pPr>
    </w:p>
    <w:p>
      <w:pPr>
        <w:ind w:left="420" w:firstLine="409"/>
        <w:spacing w:after="0" w:line="298"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All Other Transfers and Exchanges of Beneficial Interests in Global Notes.</w:t>
      </w:r>
      <w:r>
        <w:rPr>
          <w:rFonts w:ascii="Times New Roman" w:cs="Times New Roman" w:eastAsia="Times New Roman" w:hAnsi="Times New Roman"/>
          <w:sz w:val="17"/>
          <w:szCs w:val="17"/>
          <w:color w:val="auto"/>
        </w:rPr>
        <w:t xml:space="preserve"> In connection with all transfers and exchanges of beneficial interests that are not subject to Section 2.06(b)(1) above, the transferor of such beneficial interest must deliver to the Registrar either:</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(A)    both:</w:t>
      </w:r>
    </w:p>
    <w:p>
      <w:pPr>
        <w:spacing w:after="0" w:line="118" w:lineRule="exact"/>
        <w:rPr>
          <w:sz w:val="20"/>
          <w:szCs w:val="20"/>
          <w:color w:val="auto"/>
        </w:rPr>
      </w:pPr>
    </w:p>
    <w:p>
      <w:pPr>
        <w:ind w:left="1380" w:right="80" w:firstLine="371"/>
        <w:spacing w:after="0" w:line="276" w:lineRule="auto"/>
        <w:rPr>
          <w:sz w:val="20"/>
          <w:szCs w:val="20"/>
          <w:color w:val="auto"/>
        </w:rPr>
      </w:pPr>
      <w:r>
        <w:rPr>
          <w:rFonts w:ascii="Times New Roman" w:cs="Times New Roman" w:eastAsia="Times New Roman" w:hAnsi="Times New Roman"/>
          <w:sz w:val="17"/>
          <w:szCs w:val="17"/>
          <w:color w:val="auto"/>
        </w:rPr>
        <w:t>(i)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57" w:lineRule="exact"/>
        <w:rPr>
          <w:sz w:val="20"/>
          <w:szCs w:val="20"/>
          <w:color w:val="auto"/>
        </w:rPr>
      </w:pPr>
    </w:p>
    <w:p>
      <w:pPr>
        <w:ind w:left="1380" w:firstLine="371"/>
        <w:spacing w:after="0" w:line="295" w:lineRule="auto"/>
        <w:rPr>
          <w:sz w:val="20"/>
          <w:szCs w:val="20"/>
          <w:color w:val="auto"/>
        </w:rPr>
      </w:pPr>
      <w:r>
        <w:rPr>
          <w:rFonts w:ascii="Times New Roman" w:cs="Times New Roman" w:eastAsia="Times New Roman" w:hAnsi="Times New Roman"/>
          <w:sz w:val="17"/>
          <w:szCs w:val="17"/>
          <w:color w:val="auto"/>
        </w:rPr>
        <w:t>(ii)  instructions given in accordance with the Applicable Procedures containing information regarding the Participant account to be credited with such increase; or</w:t>
      </w:r>
    </w:p>
    <w:p>
      <w:pPr>
        <w:spacing w:after="0" w:line="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(B)    both:</w:t>
      </w:r>
    </w:p>
    <w:p>
      <w:pPr>
        <w:spacing w:after="0" w:line="118" w:lineRule="exact"/>
        <w:rPr>
          <w:sz w:val="20"/>
          <w:szCs w:val="20"/>
          <w:color w:val="auto"/>
        </w:rPr>
      </w:pPr>
    </w:p>
    <w:p>
      <w:pPr>
        <w:ind w:left="1380" w:right="340" w:firstLine="371"/>
        <w:spacing w:after="0" w:line="276" w:lineRule="auto"/>
        <w:rPr>
          <w:sz w:val="20"/>
          <w:szCs w:val="20"/>
          <w:color w:val="auto"/>
        </w:rPr>
      </w:pPr>
      <w:r>
        <w:rPr>
          <w:rFonts w:ascii="Times New Roman" w:cs="Times New Roman" w:eastAsia="Times New Roman" w:hAnsi="Times New Roman"/>
          <w:sz w:val="17"/>
          <w:szCs w:val="17"/>
          <w:color w:val="auto"/>
        </w:rPr>
        <w:t>(i)  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57" w:lineRule="exact"/>
        <w:rPr>
          <w:sz w:val="20"/>
          <w:szCs w:val="20"/>
          <w:color w:val="auto"/>
        </w:rPr>
      </w:pPr>
    </w:p>
    <w:p>
      <w:pPr>
        <w:ind w:left="1380" w:right="260" w:firstLine="371"/>
        <w:spacing w:after="0" w:line="295" w:lineRule="auto"/>
        <w:rPr>
          <w:sz w:val="20"/>
          <w:szCs w:val="20"/>
          <w:color w:val="auto"/>
        </w:rPr>
      </w:pPr>
      <w:r>
        <w:rPr>
          <w:rFonts w:ascii="Times New Roman" w:cs="Times New Roman" w:eastAsia="Times New Roman" w:hAnsi="Times New Roman"/>
          <w:sz w:val="17"/>
          <w:szCs w:val="17"/>
          <w:color w:val="auto"/>
        </w:rPr>
        <w:t>(ii)  instructions given by the Depositary to the Registrar containing information regarding the Person in whose name such Definitive Note shall be registered to effect the transfer or exchange referred to in (1) above.</w:t>
      </w:r>
    </w:p>
    <w:p>
      <w:pPr>
        <w:spacing w:after="0" w:line="14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55" w:lineRule="exact"/>
        <w:rPr>
          <w:sz w:val="20"/>
          <w:szCs w:val="20"/>
          <w:color w:val="auto"/>
        </w:rPr>
      </w:pPr>
    </w:p>
    <w:p>
      <w:pPr>
        <w:ind w:left="420" w:right="280" w:firstLine="409"/>
        <w:spacing w:after="0" w:line="277"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Transfer of Beneficial Interests to Another Restricted Global Note.</w:t>
      </w:r>
      <w:r>
        <w:rPr>
          <w:rFonts w:ascii="Times New Roman" w:cs="Times New Roman" w:eastAsia="Times New Roman" w:hAnsi="Times New Roman"/>
          <w:sz w:val="17"/>
          <w:szCs w:val="17"/>
          <w:color w:val="auto"/>
        </w:rPr>
        <w:t xml:space="preserve"> A beneficial interest in any Restricted 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20"/>
          </w:cols>
          <w:pgMar w:left="620" w:top="264" w:right="659" w:bottom="1440" w:gutter="0" w:footer="0" w:header="0"/>
        </w:sectPr>
      </w:pPr>
    </w:p>
    <w:bookmarkStart w:id="314" w:name="page315"/>
    <w:bookmarkEnd w:id="314"/>
    <w:p>
      <w:pPr>
        <w:ind w:left="960" w:firstLine="388"/>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if the transferee will take delivery in the form of a beneficial interest in the 144A Global Note, then the transferor must deliver a certificate in the form of Exhibit B hereto, including the certifications in item (1) thereof; and</w:t>
      </w:r>
    </w:p>
    <w:p>
      <w:pPr>
        <w:spacing w:after="0" w:line="42" w:lineRule="exact"/>
        <w:rPr>
          <w:sz w:val="20"/>
          <w:szCs w:val="20"/>
          <w:color w:val="auto"/>
        </w:rPr>
      </w:pPr>
    </w:p>
    <w:p>
      <w:pPr>
        <w:ind w:left="960" w:right="20" w:firstLine="388"/>
        <w:spacing w:after="0" w:line="295" w:lineRule="auto"/>
        <w:rPr>
          <w:sz w:val="20"/>
          <w:szCs w:val="20"/>
          <w:color w:val="auto"/>
        </w:rPr>
      </w:pPr>
      <w:r>
        <w:rPr>
          <w:rFonts w:ascii="Times New Roman" w:cs="Times New Roman" w:eastAsia="Times New Roman" w:hAnsi="Times New Roman"/>
          <w:sz w:val="17"/>
          <w:szCs w:val="17"/>
          <w:color w:val="auto"/>
        </w:rPr>
        <w:t>(B)  if the transferee will take delivery in the form of a beneficial interest in the Regulation S Global Note, then the transferor must deliver a certificate in the form of Exhibit B hereto, including the certifications in item (2) thereof.</w:t>
      </w:r>
    </w:p>
    <w:p>
      <w:pPr>
        <w:spacing w:after="0" w:line="40" w:lineRule="exact"/>
        <w:rPr>
          <w:sz w:val="20"/>
          <w:szCs w:val="20"/>
          <w:color w:val="auto"/>
        </w:rPr>
      </w:pPr>
    </w:p>
    <w:p>
      <w:pPr>
        <w:ind w:left="420" w:firstLine="409"/>
        <w:spacing w:after="0" w:line="270" w:lineRule="auto"/>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17"/>
          <w:szCs w:val="17"/>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63" w:lineRule="exact"/>
        <w:rPr>
          <w:sz w:val="20"/>
          <w:szCs w:val="20"/>
          <w:color w:val="auto"/>
        </w:rPr>
      </w:pPr>
    </w:p>
    <w:p>
      <w:pPr>
        <w:ind w:left="1380" w:right="240" w:firstLine="371"/>
        <w:spacing w:after="0" w:line="276" w:lineRule="auto"/>
        <w:rPr>
          <w:sz w:val="20"/>
          <w:szCs w:val="20"/>
          <w:color w:val="auto"/>
        </w:rPr>
      </w:pPr>
      <w:r>
        <w:rPr>
          <w:rFonts w:ascii="Times New Roman" w:cs="Times New Roman" w:eastAsia="Times New Roman" w:hAnsi="Times New Roman"/>
          <w:sz w:val="17"/>
          <w:szCs w:val="17"/>
          <w:color w:val="auto"/>
        </w:rPr>
        <w:t>(i)  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57" w:lineRule="exact"/>
        <w:rPr>
          <w:sz w:val="20"/>
          <w:szCs w:val="20"/>
          <w:color w:val="auto"/>
        </w:rPr>
      </w:pPr>
    </w:p>
    <w:p>
      <w:pPr>
        <w:ind w:left="1380" w:right="260" w:firstLine="371"/>
        <w:spacing w:after="0" w:line="276" w:lineRule="auto"/>
        <w:rPr>
          <w:sz w:val="20"/>
          <w:szCs w:val="20"/>
          <w:color w:val="auto"/>
        </w:rPr>
      </w:pPr>
      <w:r>
        <w:rPr>
          <w:rFonts w:ascii="Times New Roman" w:cs="Times New Roman" w:eastAsia="Times New Roman" w:hAnsi="Times New Roman"/>
          <w:sz w:val="17"/>
          <w:szCs w:val="17"/>
          <w:color w:val="auto"/>
        </w:rPr>
        <w:t>(ii)  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57" w:lineRule="exact"/>
        <w:rPr>
          <w:sz w:val="20"/>
          <w:szCs w:val="20"/>
          <w:color w:val="auto"/>
        </w:rPr>
      </w:pPr>
    </w:p>
    <w:p>
      <w:pPr>
        <w:ind w:left="960" w:right="40"/>
        <w:spacing w:after="0" w:line="269" w:lineRule="auto"/>
        <w:rPr>
          <w:sz w:val="20"/>
          <w:szCs w:val="20"/>
          <w:color w:val="auto"/>
        </w:rPr>
      </w:pPr>
      <w:r>
        <w:rPr>
          <w:rFonts w:ascii="Times New Roman" w:cs="Times New Roman" w:eastAsia="Times New Roman" w:hAnsi="Times New Roman"/>
          <w:sz w:val="17"/>
          <w:szCs w:val="17"/>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9" w:lineRule="exact"/>
        <w:rPr>
          <w:sz w:val="20"/>
          <w:szCs w:val="20"/>
          <w:color w:val="auto"/>
        </w:rPr>
      </w:pPr>
    </w:p>
    <w:p>
      <w:pPr>
        <w:ind w:firstLine="426"/>
        <w:spacing w:after="0" w:line="273" w:lineRule="auto"/>
        <w:rPr>
          <w:sz w:val="20"/>
          <w:szCs w:val="20"/>
          <w:color w:val="auto"/>
        </w:rPr>
      </w:pPr>
      <w:r>
        <w:rPr>
          <w:rFonts w:ascii="Times New Roman" w:cs="Times New Roman" w:eastAsia="Times New Roman" w:hAnsi="Times New Roman"/>
          <w:sz w:val="17"/>
          <w:szCs w:val="17"/>
          <w:color w:val="auto"/>
        </w:rPr>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378" w:lineRule="exact"/>
        <w:rPr>
          <w:sz w:val="20"/>
          <w:szCs w:val="20"/>
          <w:color w:val="auto"/>
        </w:rPr>
      </w:pPr>
    </w:p>
    <w:p>
      <w:pPr>
        <w:ind w:right="80" w:firstLine="426"/>
        <w:spacing w:after="0" w:line="295" w:lineRule="auto"/>
        <w:rPr>
          <w:sz w:val="20"/>
          <w:szCs w:val="20"/>
          <w:color w:val="auto"/>
        </w:rPr>
      </w:pPr>
      <w:r>
        <w:rPr>
          <w:rFonts w:ascii="Times New Roman" w:cs="Times New Roman" w:eastAsia="Times New Roman" w:hAnsi="Times New Roman"/>
          <w:sz w:val="17"/>
          <w:szCs w:val="17"/>
          <w:color w:val="auto"/>
        </w:rPr>
        <w:t>Beneficial interests in an Unrestricted Global Note cannot be exchanged for, or transferred to Persons who take delivery thereof in the form of, a beneficial interest in a Restricted Global Note.</w:t>
      </w:r>
    </w:p>
    <w:p>
      <w:pPr>
        <w:spacing w:after="0" w:line="53" w:lineRule="exact"/>
        <w:rPr>
          <w:sz w:val="20"/>
          <w:szCs w:val="20"/>
          <w:color w:val="auto"/>
        </w:rPr>
      </w:pPr>
    </w:p>
    <w:p>
      <w:pPr>
        <w:ind w:left="940" w:hanging="530"/>
        <w:spacing w:after="0"/>
        <w:tabs>
          <w:tab w:leader="none" w:pos="94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or Exchange of Beneficial Interests for Definitive Notes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420" w:right="100" w:firstLine="409"/>
        <w:spacing w:after="0" w:line="277"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Beneficial Interests in Restricted Global Notes to Restricted Definitive Notes.</w:t>
      </w:r>
      <w:r>
        <w:rPr>
          <w:rFonts w:ascii="Times New Roman" w:cs="Times New Roman" w:eastAsia="Times New Roman" w:hAnsi="Times New Roman"/>
          <w:sz w:val="17"/>
          <w:szCs w:val="17"/>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57" w:lineRule="exact"/>
        <w:rPr>
          <w:sz w:val="20"/>
          <w:szCs w:val="20"/>
          <w:color w:val="auto"/>
        </w:rPr>
      </w:pPr>
    </w:p>
    <w:p>
      <w:pPr>
        <w:ind w:left="960" w:right="460" w:firstLine="388"/>
        <w:spacing w:after="0" w:line="276" w:lineRule="auto"/>
        <w:rPr>
          <w:sz w:val="20"/>
          <w:szCs w:val="20"/>
          <w:color w:val="auto"/>
        </w:rPr>
      </w:pPr>
      <w:r>
        <w:rPr>
          <w:rFonts w:ascii="Times New Roman" w:cs="Times New Roman" w:eastAsia="Times New Roman" w:hAnsi="Times New Roman"/>
          <w:sz w:val="17"/>
          <w:szCs w:val="17"/>
          <w:color w:val="auto"/>
        </w:rPr>
        <w:t>(A)  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57" w:lineRule="exact"/>
        <w:rPr>
          <w:sz w:val="20"/>
          <w:szCs w:val="20"/>
          <w:color w:val="auto"/>
        </w:rPr>
      </w:pPr>
    </w:p>
    <w:p>
      <w:pPr>
        <w:ind w:left="960" w:right="300" w:firstLine="388"/>
        <w:spacing w:after="0" w:line="295" w:lineRule="auto"/>
        <w:rPr>
          <w:sz w:val="20"/>
          <w:szCs w:val="20"/>
          <w:color w:val="auto"/>
        </w:rPr>
      </w:pPr>
      <w:r>
        <w:rPr>
          <w:rFonts w:ascii="Times New Roman" w:cs="Times New Roman" w:eastAsia="Times New Roman" w:hAnsi="Times New Roman"/>
          <w:sz w:val="17"/>
          <w:szCs w:val="17"/>
          <w:color w:val="auto"/>
        </w:rPr>
        <w:t>(B)  if such beneficial interest is being transferred to a QIB in accordance with Rule 144A, a certificate to the effect set forth in Exhibit B hereto, including the certifications in item (1) thereof;</w:t>
      </w:r>
    </w:p>
    <w:p>
      <w:pPr>
        <w:spacing w:after="0" w:line="42" w:lineRule="exact"/>
        <w:rPr>
          <w:sz w:val="20"/>
          <w:szCs w:val="20"/>
          <w:color w:val="auto"/>
        </w:rPr>
      </w:pPr>
    </w:p>
    <w:p>
      <w:pPr>
        <w:ind w:left="960" w:right="100" w:firstLine="388"/>
        <w:spacing w:after="0" w:line="295" w:lineRule="auto"/>
        <w:rPr>
          <w:sz w:val="20"/>
          <w:szCs w:val="20"/>
          <w:color w:val="auto"/>
        </w:rPr>
      </w:pPr>
      <w:r>
        <w:rPr>
          <w:rFonts w:ascii="Times New Roman" w:cs="Times New Roman" w:eastAsia="Times New Roman" w:hAnsi="Times New Roman"/>
          <w:sz w:val="17"/>
          <w:szCs w:val="17"/>
          <w:color w:val="auto"/>
        </w:rPr>
        <w:t>(C)  if such beneficial interest is being transferred to a Non-U.S. Person in an offshore transaction in accordance with Rule 903 or Rule 904, a certificate to the effect set forth in Exhibit B hereto, including the certifications in item (2) thereof;</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60"/>
          </w:cols>
          <w:pgMar w:left="620" w:top="264" w:right="719" w:bottom="1440" w:gutter="0" w:footer="0" w:header="0"/>
        </w:sectPr>
      </w:pPr>
    </w:p>
    <w:bookmarkStart w:id="315" w:name="page316"/>
    <w:bookmarkEnd w:id="315"/>
    <w:p>
      <w:pPr>
        <w:ind w:left="960" w:right="60" w:firstLine="388"/>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  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42" w:lineRule="exact"/>
        <w:rPr>
          <w:sz w:val="20"/>
          <w:szCs w:val="20"/>
          <w:color w:val="auto"/>
        </w:rPr>
      </w:pPr>
    </w:p>
    <w:p>
      <w:pPr>
        <w:ind w:left="960" w:right="280" w:firstLine="388"/>
        <w:spacing w:after="0" w:line="295" w:lineRule="auto"/>
        <w:rPr>
          <w:sz w:val="20"/>
          <w:szCs w:val="20"/>
          <w:color w:val="auto"/>
        </w:rPr>
      </w:pPr>
      <w:r>
        <w:rPr>
          <w:rFonts w:ascii="Times New Roman" w:cs="Times New Roman" w:eastAsia="Times New Roman" w:hAnsi="Times New Roman"/>
          <w:sz w:val="17"/>
          <w:szCs w:val="17"/>
          <w:color w:val="auto"/>
        </w:rPr>
        <w:t>(E)  if such beneficial interest is being transferred to the Company or any of its Subsidiaries, a certificate to the effect set forth in Exhibit B hereto, including the certifications in item (3)(b) thereof; or</w:t>
      </w:r>
    </w:p>
    <w:p>
      <w:pPr>
        <w:spacing w:after="0" w:line="42" w:lineRule="exact"/>
        <w:rPr>
          <w:sz w:val="20"/>
          <w:szCs w:val="20"/>
          <w:color w:val="auto"/>
        </w:rPr>
      </w:pPr>
    </w:p>
    <w:p>
      <w:pPr>
        <w:ind w:left="960" w:right="680" w:firstLine="388"/>
        <w:spacing w:after="0" w:line="295" w:lineRule="auto"/>
        <w:rPr>
          <w:sz w:val="20"/>
          <w:szCs w:val="20"/>
          <w:color w:val="auto"/>
        </w:rPr>
      </w:pPr>
      <w:r>
        <w:rPr>
          <w:rFonts w:ascii="Times New Roman" w:cs="Times New Roman" w:eastAsia="Times New Roman" w:hAnsi="Times New Roman"/>
          <w:sz w:val="17"/>
          <w:szCs w:val="17"/>
          <w:color w:val="auto"/>
        </w:rPr>
        <w:t>(F)  if such beneficial interest is being transferred pursuant to an effective registration statement under the Securities Act, a certificate to the effect set forth in Exhibit B hereto, including the certifications in item (3)(c) thereof,</w:t>
      </w:r>
    </w:p>
    <w:p>
      <w:pPr>
        <w:spacing w:after="0" w:line="4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67" w:lineRule="exact"/>
        <w:rPr>
          <w:sz w:val="20"/>
          <w:szCs w:val="20"/>
          <w:color w:val="auto"/>
        </w:rPr>
      </w:pPr>
    </w:p>
    <w:p>
      <w:pPr>
        <w:ind w:left="420" w:right="40" w:firstLine="409"/>
        <w:spacing w:after="0" w:line="277"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Beneficial Interests in Restricted Global Notes to Unrestricted Definitive Notes.</w:t>
      </w:r>
      <w:r>
        <w:rPr>
          <w:rFonts w:ascii="Times New Roman" w:cs="Times New Roman" w:eastAsia="Times New Roman" w:hAnsi="Times New Roman"/>
          <w:sz w:val="17"/>
          <w:szCs w:val="17"/>
          <w:color w:val="auto"/>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57" w:lineRule="exact"/>
        <w:rPr>
          <w:sz w:val="20"/>
          <w:szCs w:val="20"/>
          <w:color w:val="auto"/>
        </w:rPr>
      </w:pPr>
    </w:p>
    <w:p>
      <w:pPr>
        <w:ind w:left="1380" w:right="180" w:firstLine="371"/>
        <w:spacing w:after="0" w:line="276" w:lineRule="auto"/>
        <w:rPr>
          <w:sz w:val="20"/>
          <w:szCs w:val="20"/>
          <w:color w:val="auto"/>
        </w:rPr>
      </w:pPr>
      <w:r>
        <w:rPr>
          <w:rFonts w:ascii="Times New Roman" w:cs="Times New Roman" w:eastAsia="Times New Roman" w:hAnsi="Times New Roman"/>
          <w:sz w:val="17"/>
          <w:szCs w:val="17"/>
          <w:color w:val="auto"/>
        </w:rPr>
        <w:t>(i)  if the Holder of such beneficial interest in a Restricted Global Note proposes to exchange such beneficial interest for an Unrestricted Definitive Note, a certificate from such Holder in the form of Exhibit C hereto, including the certifications in item (1) (b) thereof; or</w:t>
      </w:r>
    </w:p>
    <w:p>
      <w:pPr>
        <w:spacing w:after="0" w:line="57" w:lineRule="exact"/>
        <w:rPr>
          <w:sz w:val="20"/>
          <w:szCs w:val="20"/>
          <w:color w:val="auto"/>
        </w:rPr>
      </w:pPr>
    </w:p>
    <w:p>
      <w:pPr>
        <w:ind w:left="1380" w:right="180" w:firstLine="371"/>
        <w:spacing w:after="0" w:line="276" w:lineRule="auto"/>
        <w:rPr>
          <w:sz w:val="20"/>
          <w:szCs w:val="20"/>
          <w:color w:val="auto"/>
        </w:rPr>
      </w:pPr>
      <w:r>
        <w:rPr>
          <w:rFonts w:ascii="Times New Roman" w:cs="Times New Roman" w:eastAsia="Times New Roman" w:hAnsi="Times New Roman"/>
          <w:sz w:val="17"/>
          <w:szCs w:val="17"/>
          <w:color w:val="auto"/>
        </w:rPr>
        <w:t>(ii)  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57" w:lineRule="exact"/>
        <w:rPr>
          <w:sz w:val="20"/>
          <w:szCs w:val="20"/>
          <w:color w:val="auto"/>
        </w:rPr>
      </w:pPr>
    </w:p>
    <w:p>
      <w:pPr>
        <w:ind w:left="960" w:right="80"/>
        <w:spacing w:after="0" w:line="269" w:lineRule="auto"/>
        <w:rPr>
          <w:sz w:val="20"/>
          <w:szCs w:val="20"/>
          <w:color w:val="auto"/>
        </w:rPr>
      </w:pPr>
      <w:r>
        <w:rPr>
          <w:rFonts w:ascii="Times New Roman" w:cs="Times New Roman" w:eastAsia="Times New Roman" w:hAnsi="Times New Roman"/>
          <w:sz w:val="17"/>
          <w:szCs w:val="17"/>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3" w:lineRule="exact"/>
        <w:rPr>
          <w:sz w:val="20"/>
          <w:szCs w:val="20"/>
          <w:color w:val="auto"/>
        </w:rPr>
      </w:pPr>
    </w:p>
    <w:p>
      <w:pPr>
        <w:ind w:left="420" w:firstLine="409"/>
        <w:spacing w:after="0" w:line="261"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Beneficial Interests in Unrestricted Global Notes to Unrestricted Definitive Notes.</w:t>
      </w:r>
      <w:r>
        <w:rPr>
          <w:rFonts w:ascii="Times New Roman" w:cs="Times New Roman" w:eastAsia="Times New Roman" w:hAnsi="Times New Roman"/>
          <w:sz w:val="17"/>
          <w:szCs w:val="17"/>
          <w:color w:val="auto"/>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60"/>
          </w:cols>
          <w:pgMar w:left="620" w:top="265" w:right="619" w:bottom="1440" w:gutter="0" w:footer="0" w:header="0"/>
        </w:sectPr>
      </w:pPr>
    </w:p>
    <w:bookmarkStart w:id="316" w:name="page317"/>
    <w:bookmarkEnd w:id="316"/>
    <w:p>
      <w:pPr>
        <w:ind w:left="530" w:hanging="530"/>
        <w:spacing w:after="0"/>
        <w:tabs>
          <w:tab w:leader="none" w:pos="53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Transfer and Exchange of Definitive Notes for Beneficial Interests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10" w:firstLine="409"/>
        <w:spacing w:after="0" w:line="274"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Restricted Definitive Notes to Beneficial Interests in Restricted Global Notes.</w:t>
      </w:r>
      <w:r>
        <w:rPr>
          <w:rFonts w:ascii="Times New Roman" w:cs="Times New Roman" w:eastAsia="Times New Roman" w:hAnsi="Times New Roman"/>
          <w:sz w:val="17"/>
          <w:szCs w:val="17"/>
          <w:color w:val="auto"/>
        </w:rPr>
        <w:t xml:space="preserve">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273" w:lineRule="exact"/>
        <w:rPr>
          <w:sz w:val="20"/>
          <w:szCs w:val="20"/>
          <w:color w:val="auto"/>
        </w:rPr>
      </w:pPr>
    </w:p>
    <w:p>
      <w:pPr>
        <w:ind w:left="550" w:right="20" w:firstLine="388"/>
        <w:spacing w:after="0" w:line="295" w:lineRule="auto"/>
        <w:rPr>
          <w:sz w:val="20"/>
          <w:szCs w:val="20"/>
          <w:color w:val="auto"/>
        </w:rPr>
      </w:pPr>
      <w:r>
        <w:rPr>
          <w:rFonts w:ascii="Times New Roman" w:cs="Times New Roman" w:eastAsia="Times New Roman" w:hAnsi="Times New Roman"/>
          <w:sz w:val="17"/>
          <w:szCs w:val="17"/>
          <w:color w:val="auto"/>
        </w:rPr>
        <w:t>(A)  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42" w:lineRule="exact"/>
        <w:rPr>
          <w:sz w:val="20"/>
          <w:szCs w:val="20"/>
          <w:color w:val="auto"/>
        </w:rPr>
      </w:pPr>
    </w:p>
    <w:p>
      <w:pPr>
        <w:ind w:left="550" w:right="300" w:firstLine="388"/>
        <w:spacing w:after="0" w:line="295" w:lineRule="auto"/>
        <w:rPr>
          <w:sz w:val="20"/>
          <w:szCs w:val="20"/>
          <w:color w:val="auto"/>
        </w:rPr>
      </w:pPr>
      <w:r>
        <w:rPr>
          <w:rFonts w:ascii="Times New Roman" w:cs="Times New Roman" w:eastAsia="Times New Roman" w:hAnsi="Times New Roman"/>
          <w:sz w:val="17"/>
          <w:szCs w:val="17"/>
          <w:color w:val="auto"/>
        </w:rPr>
        <w:t>(B)  if such Restricted Definitive Note is being transferred to a QIB in accordance with Rule 144A, a certificate to the effect set forth in Exhibit B hereto, including the certifications in item (1) thereof;</w:t>
      </w:r>
    </w:p>
    <w:p>
      <w:pPr>
        <w:spacing w:after="0" w:line="42" w:lineRule="exact"/>
        <w:rPr>
          <w:sz w:val="20"/>
          <w:szCs w:val="20"/>
          <w:color w:val="auto"/>
        </w:rPr>
      </w:pPr>
    </w:p>
    <w:p>
      <w:pPr>
        <w:ind w:left="550" w:right="40" w:firstLine="388"/>
        <w:spacing w:after="0" w:line="295" w:lineRule="auto"/>
        <w:rPr>
          <w:sz w:val="20"/>
          <w:szCs w:val="20"/>
          <w:color w:val="auto"/>
        </w:rPr>
      </w:pPr>
      <w:r>
        <w:rPr>
          <w:rFonts w:ascii="Times New Roman" w:cs="Times New Roman" w:eastAsia="Times New Roman" w:hAnsi="Times New Roman"/>
          <w:sz w:val="17"/>
          <w:szCs w:val="17"/>
          <w:color w:val="auto"/>
        </w:rPr>
        <w:t>(C)  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42" w:lineRule="exact"/>
        <w:rPr>
          <w:sz w:val="20"/>
          <w:szCs w:val="20"/>
          <w:color w:val="auto"/>
        </w:rPr>
      </w:pPr>
    </w:p>
    <w:p>
      <w:pPr>
        <w:ind w:left="550" w:right="120" w:firstLine="388"/>
        <w:spacing w:after="0" w:line="276" w:lineRule="auto"/>
        <w:rPr>
          <w:sz w:val="20"/>
          <w:szCs w:val="20"/>
          <w:color w:val="auto"/>
        </w:rPr>
      </w:pPr>
      <w:r>
        <w:rPr>
          <w:rFonts w:ascii="Times New Roman" w:cs="Times New Roman" w:eastAsia="Times New Roman" w:hAnsi="Times New Roman"/>
          <w:sz w:val="17"/>
          <w:szCs w:val="17"/>
          <w:color w:val="auto"/>
        </w:rPr>
        <w:t>(D)  if such Restricted Definitive Note is being transferred pursuant to an exemption from the registration requirements of the Securities Act in accordance with Rule 144, a certificate to the effect set forth in Exhibit B hereto, including the certifications in item (3) (a) thereof;</w:t>
      </w:r>
    </w:p>
    <w:p>
      <w:pPr>
        <w:spacing w:after="0" w:line="57" w:lineRule="exact"/>
        <w:rPr>
          <w:sz w:val="20"/>
          <w:szCs w:val="20"/>
          <w:color w:val="auto"/>
        </w:rPr>
      </w:pPr>
    </w:p>
    <w:p>
      <w:pPr>
        <w:ind w:left="550" w:right="180" w:firstLine="388"/>
        <w:spacing w:after="0" w:line="295" w:lineRule="auto"/>
        <w:rPr>
          <w:sz w:val="20"/>
          <w:szCs w:val="20"/>
          <w:color w:val="auto"/>
        </w:rPr>
      </w:pPr>
      <w:r>
        <w:rPr>
          <w:rFonts w:ascii="Times New Roman" w:cs="Times New Roman" w:eastAsia="Times New Roman" w:hAnsi="Times New Roman"/>
          <w:sz w:val="17"/>
          <w:szCs w:val="17"/>
          <w:color w:val="auto"/>
        </w:rPr>
        <w:t>(E)  if such Restricted Definitive Note is being transferred to the Company or any of its Subsidiaries, a certificate to the effect set forth in Exhibit B hereto, including the certifications in item (3)(b) thereof; or</w:t>
      </w:r>
    </w:p>
    <w:p>
      <w:pPr>
        <w:spacing w:after="0" w:line="42" w:lineRule="exact"/>
        <w:rPr>
          <w:sz w:val="20"/>
          <w:szCs w:val="20"/>
          <w:color w:val="auto"/>
        </w:rPr>
      </w:pPr>
    </w:p>
    <w:p>
      <w:pPr>
        <w:ind w:left="550" w:right="20" w:firstLine="388"/>
        <w:spacing w:after="0" w:line="295" w:lineRule="auto"/>
        <w:rPr>
          <w:sz w:val="20"/>
          <w:szCs w:val="20"/>
          <w:color w:val="auto"/>
        </w:rPr>
      </w:pPr>
      <w:r>
        <w:rPr>
          <w:rFonts w:ascii="Times New Roman" w:cs="Times New Roman" w:eastAsia="Times New Roman" w:hAnsi="Times New Roman"/>
          <w:sz w:val="17"/>
          <w:szCs w:val="17"/>
          <w:color w:val="auto"/>
        </w:rPr>
        <w:t>(F)  if such Restricted Definitive Note is being transferred pursuant to an effective registration statement under the Securities Act, a certificate to the effect set forth in Exhibit B hereto, including the certifications in item (3)(c) thereof,</w:t>
      </w:r>
    </w:p>
    <w:p>
      <w:pPr>
        <w:spacing w:after="0" w:line="42" w:lineRule="exact"/>
        <w:rPr>
          <w:sz w:val="20"/>
          <w:szCs w:val="20"/>
          <w:color w:val="auto"/>
        </w:rPr>
      </w:pPr>
    </w:p>
    <w:p>
      <w:pPr>
        <w:ind w:left="550" w:right="80"/>
        <w:spacing w:after="0" w:line="295" w:lineRule="auto"/>
        <w:rPr>
          <w:sz w:val="20"/>
          <w:szCs w:val="20"/>
          <w:color w:val="auto"/>
        </w:rPr>
      </w:pPr>
      <w:r>
        <w:rPr>
          <w:rFonts w:ascii="Times New Roman" w:cs="Times New Roman" w:eastAsia="Times New Roman" w:hAnsi="Times New Roman"/>
          <w:sz w:val="17"/>
          <w:szCs w:val="17"/>
          <w:color w:val="auto"/>
        </w:rPr>
        <w:t>the Trustee will cancel the Restricted Definitive Note, increase or cause to be increased the aggregate principal amount of the appropriate Restricted Global Note.</w:t>
      </w:r>
    </w:p>
    <w:p>
      <w:pPr>
        <w:spacing w:after="0" w:line="40" w:lineRule="exact"/>
        <w:rPr>
          <w:sz w:val="20"/>
          <w:szCs w:val="20"/>
          <w:color w:val="auto"/>
        </w:rPr>
      </w:pPr>
    </w:p>
    <w:p>
      <w:pPr>
        <w:ind w:left="10" w:right="360" w:firstLine="409"/>
        <w:spacing w:after="0" w:line="277"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Restricted Definitive Notes to Beneficial Interests in Unrestricted Global Notes.</w:t>
      </w:r>
      <w:r>
        <w:rPr>
          <w:rFonts w:ascii="Times New Roman" w:cs="Times New Roman" w:eastAsia="Times New Roman" w:hAnsi="Times New Roman"/>
          <w:sz w:val="17"/>
          <w:szCs w:val="17"/>
          <w:color w:val="auto"/>
        </w:rPr>
        <w:t xml:space="preserve">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57" w:lineRule="exact"/>
        <w:rPr>
          <w:sz w:val="20"/>
          <w:szCs w:val="20"/>
          <w:color w:val="auto"/>
        </w:rPr>
      </w:pPr>
    </w:p>
    <w:p>
      <w:pPr>
        <w:ind w:left="970" w:firstLine="371"/>
        <w:spacing w:after="0" w:line="295" w:lineRule="auto"/>
        <w:rPr>
          <w:sz w:val="20"/>
          <w:szCs w:val="20"/>
          <w:color w:val="auto"/>
        </w:rPr>
      </w:pPr>
      <w:r>
        <w:rPr>
          <w:rFonts w:ascii="Times New Roman" w:cs="Times New Roman" w:eastAsia="Times New Roman" w:hAnsi="Times New Roman"/>
          <w:sz w:val="17"/>
          <w:szCs w:val="17"/>
          <w:color w:val="auto"/>
        </w:rPr>
        <w:t>(i)  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42" w:lineRule="exact"/>
        <w:rPr>
          <w:sz w:val="20"/>
          <w:szCs w:val="20"/>
          <w:color w:val="auto"/>
        </w:rPr>
      </w:pPr>
    </w:p>
    <w:p>
      <w:pPr>
        <w:ind w:left="970" w:right="140" w:firstLine="371"/>
        <w:spacing w:after="0" w:line="276" w:lineRule="auto"/>
        <w:rPr>
          <w:sz w:val="20"/>
          <w:szCs w:val="20"/>
          <w:color w:val="auto"/>
        </w:rPr>
      </w:pPr>
      <w:r>
        <w:rPr>
          <w:rFonts w:ascii="Times New Roman" w:cs="Times New Roman" w:eastAsia="Times New Roman" w:hAnsi="Times New Roman"/>
          <w:sz w:val="17"/>
          <w:szCs w:val="17"/>
          <w:color w:val="auto"/>
        </w:rPr>
        <w:t>(ii)  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57" w:lineRule="exact"/>
        <w:rPr>
          <w:sz w:val="20"/>
          <w:szCs w:val="20"/>
          <w:color w:val="auto"/>
        </w:rPr>
      </w:pPr>
    </w:p>
    <w:p>
      <w:pPr>
        <w:ind w:left="430"/>
        <w:spacing w:after="0" w:line="269" w:lineRule="auto"/>
        <w:rPr>
          <w:sz w:val="20"/>
          <w:szCs w:val="20"/>
          <w:color w:val="auto"/>
        </w:rPr>
      </w:pPr>
      <w:r>
        <w:rPr>
          <w:rFonts w:ascii="Times New Roman" w:cs="Times New Roman" w:eastAsia="Times New Roman" w:hAnsi="Times New Roman"/>
          <w:sz w:val="17"/>
          <w:szCs w:val="17"/>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5" w:lineRule="exact"/>
        <w:rPr>
          <w:sz w:val="20"/>
          <w:szCs w:val="20"/>
          <w:color w:val="auto"/>
        </w:rPr>
      </w:pPr>
    </w:p>
    <w:p>
      <w:pPr>
        <w:ind w:left="10" w:right="500" w:firstLine="409"/>
        <w:spacing w:after="0" w:line="295" w:lineRule="auto"/>
        <w:rPr>
          <w:sz w:val="20"/>
          <w:szCs w:val="20"/>
          <w:color w:val="auto"/>
        </w:rPr>
      </w:pPr>
      <w:r>
        <w:rPr>
          <w:rFonts w:ascii="Times New Roman" w:cs="Times New Roman" w:eastAsia="Times New Roman" w:hAnsi="Times New Roman"/>
          <w:sz w:val="17"/>
          <w:szCs w:val="17"/>
          <w:color w:val="auto"/>
        </w:rPr>
        <w:t>Upon satisfaction of the conditions in this Section 2.06(d)(2), the Trustee will cancel the Definitive Notes and increase or cause to be increased the aggregate principal amount of the Unrestricted Global Note.</w:t>
      </w:r>
    </w:p>
    <w:p>
      <w:pPr>
        <w:spacing w:after="0" w:line="81"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190"/>
          </w:cols>
          <w:pgMar w:left="1030" w:top="262" w:right="679" w:bottom="1440" w:gutter="0" w:footer="0" w:header="0"/>
        </w:sectPr>
      </w:pPr>
    </w:p>
    <w:bookmarkStart w:id="317" w:name="page318"/>
    <w:bookmarkEnd w:id="317"/>
    <w:p>
      <w:pPr>
        <w:ind w:left="420" w:right="100" w:firstLine="409"/>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  </w:t>
      </w:r>
      <w:r>
        <w:rPr>
          <w:rFonts w:ascii="Times New Roman" w:cs="Times New Roman" w:eastAsia="Times New Roman" w:hAnsi="Times New Roman"/>
          <w:sz w:val="17"/>
          <w:szCs w:val="17"/>
          <w:i w:val="1"/>
          <w:iCs w:val="1"/>
          <w:color w:val="auto"/>
        </w:rPr>
        <w:t>Unrestricted Definitive Notes to Beneficial Interests in Unrestricted Global Notes.</w:t>
      </w:r>
      <w:r>
        <w:rPr>
          <w:rFonts w:ascii="Times New Roman" w:cs="Times New Roman" w:eastAsia="Times New Roman" w:hAnsi="Times New Roman"/>
          <w:sz w:val="17"/>
          <w:szCs w:val="17"/>
          <w:color w:val="auto"/>
        </w:rPr>
        <w:t xml:space="preserve">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If any such exchange or transfer from a Definitive Note to a beneficial interest is effected pursuant to subparagraphs (1)(B), (1)(D) or</w:t>
      </w:r>
    </w:p>
    <w:p>
      <w:pPr>
        <w:spacing w:after="0" w:line="32" w:lineRule="exact"/>
        <w:rPr>
          <w:sz w:val="20"/>
          <w:szCs w:val="20"/>
          <w:color w:val="auto"/>
        </w:rPr>
      </w:pPr>
    </w:p>
    <w:p>
      <w:pPr>
        <w:ind w:left="420" w:right="380" w:hanging="2"/>
        <w:spacing w:after="0" w:line="265" w:lineRule="auto"/>
        <w:tabs>
          <w:tab w:leader="none" w:pos="667"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69" w:lineRule="exact"/>
        <w:rPr>
          <w:sz w:val="20"/>
          <w:szCs w:val="20"/>
          <w:color w:val="auto"/>
        </w:rPr>
      </w:pPr>
    </w:p>
    <w:p>
      <w:pPr>
        <w:ind w:right="40" w:firstLine="426"/>
        <w:spacing w:after="0" w:line="266"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color w:val="auto"/>
        </w:rPr>
        <w:t>Transfer and Exchange of Definitive Notes for Definitive Notes.</w:t>
      </w:r>
      <w:r>
        <w:rPr>
          <w:rFonts w:ascii="Times New Roman" w:cs="Times New Roman" w:eastAsia="Times New Roman" w:hAnsi="Times New Roman"/>
          <w:sz w:val="17"/>
          <w:szCs w:val="17"/>
          <w:color w:val="auto"/>
        </w:rPr>
        <w:t xml:space="preserve"> Upon request by a Holder of Definitive Notes and 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276" w:lineRule="exact"/>
        <w:rPr>
          <w:sz w:val="20"/>
          <w:szCs w:val="20"/>
          <w:color w:val="auto"/>
        </w:rPr>
      </w:pPr>
    </w:p>
    <w:p>
      <w:pPr>
        <w:ind w:left="420" w:right="200" w:firstLine="409"/>
        <w:spacing w:after="0" w:line="298"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Restricted Definitive Notes to Restricted Definitive Notes.</w:t>
      </w:r>
      <w:r>
        <w:rPr>
          <w:rFonts w:ascii="Times New Roman" w:cs="Times New Roman" w:eastAsia="Times New Roman" w:hAnsi="Times New Roman"/>
          <w:sz w:val="17"/>
          <w:szCs w:val="17"/>
          <w:color w:val="auto"/>
        </w:rPr>
        <w:t xml:space="preserve"> Any Restricted Definitive Note may be transferred to and registered in the name of Persons who take delivery thereof in the form of a Restricted Definitive Note if the Registrar receives the following:</w:t>
      </w:r>
    </w:p>
    <w:p>
      <w:pPr>
        <w:spacing w:after="0" w:line="39" w:lineRule="exact"/>
        <w:rPr>
          <w:sz w:val="20"/>
          <w:szCs w:val="20"/>
          <w:color w:val="auto"/>
        </w:rPr>
      </w:pPr>
    </w:p>
    <w:p>
      <w:pPr>
        <w:ind w:left="960" w:firstLine="388"/>
        <w:spacing w:after="0" w:line="295" w:lineRule="auto"/>
        <w:rPr>
          <w:sz w:val="20"/>
          <w:szCs w:val="20"/>
          <w:color w:val="auto"/>
        </w:rPr>
      </w:pPr>
      <w:r>
        <w:rPr>
          <w:rFonts w:ascii="Times New Roman" w:cs="Times New Roman" w:eastAsia="Times New Roman" w:hAnsi="Times New Roman"/>
          <w:sz w:val="17"/>
          <w:szCs w:val="17"/>
          <w:color w:val="auto"/>
        </w:rPr>
        <w:t>(A)  if the transfer will be made pursuant to Rule 144A, then the transferor must deliver a certificate in the form of Exhibit B hereto, including the certifications in item (1) thereof;</w:t>
      </w:r>
    </w:p>
    <w:p>
      <w:pPr>
        <w:spacing w:after="0" w:line="42" w:lineRule="exact"/>
        <w:rPr>
          <w:sz w:val="20"/>
          <w:szCs w:val="20"/>
          <w:color w:val="auto"/>
        </w:rPr>
      </w:pPr>
    </w:p>
    <w:p>
      <w:pPr>
        <w:ind w:left="960" w:right="500" w:firstLine="388"/>
        <w:spacing w:after="0" w:line="295" w:lineRule="auto"/>
        <w:rPr>
          <w:sz w:val="20"/>
          <w:szCs w:val="20"/>
          <w:color w:val="auto"/>
        </w:rPr>
      </w:pPr>
      <w:r>
        <w:rPr>
          <w:rFonts w:ascii="Times New Roman" w:cs="Times New Roman" w:eastAsia="Times New Roman" w:hAnsi="Times New Roman"/>
          <w:sz w:val="17"/>
          <w:szCs w:val="17"/>
          <w:color w:val="auto"/>
        </w:rPr>
        <w:t>(B)  if the transfer will be made pursuant to Rule 903 or Rule 904, then the transferor must deliver a certificate in the form of Exhibit B hereto, including the certifications in item (2) thereof; and</w:t>
      </w:r>
    </w:p>
    <w:p>
      <w:pPr>
        <w:spacing w:after="0" w:line="42" w:lineRule="exact"/>
        <w:rPr>
          <w:sz w:val="20"/>
          <w:szCs w:val="20"/>
          <w:color w:val="auto"/>
        </w:rPr>
      </w:pPr>
    </w:p>
    <w:p>
      <w:pPr>
        <w:ind w:left="960" w:right="180" w:firstLine="388"/>
        <w:spacing w:after="0" w:line="276" w:lineRule="auto"/>
        <w:rPr>
          <w:sz w:val="20"/>
          <w:szCs w:val="20"/>
          <w:color w:val="auto"/>
        </w:rPr>
      </w:pPr>
      <w:r>
        <w:rPr>
          <w:rFonts w:ascii="Times New Roman" w:cs="Times New Roman" w:eastAsia="Times New Roman" w:hAnsi="Times New Roman"/>
          <w:sz w:val="17"/>
          <w:szCs w:val="17"/>
          <w:color w:val="auto"/>
        </w:rPr>
        <w:t>(C)  if the transfer will be made pursuant to any other exemption from the registration requirements of the Securities Act, then the transferor must deliver a certificate in the form of Exhibit B hereto, including the certifications and certificates required by item (3) thereof, if applicable.</w:t>
      </w:r>
    </w:p>
    <w:p>
      <w:pPr>
        <w:spacing w:after="0" w:line="55" w:lineRule="exact"/>
        <w:rPr>
          <w:sz w:val="20"/>
          <w:szCs w:val="20"/>
          <w:color w:val="auto"/>
        </w:rPr>
      </w:pPr>
    </w:p>
    <w:p>
      <w:pPr>
        <w:jc w:val="both"/>
        <w:ind w:left="420" w:right="120" w:firstLine="409"/>
        <w:spacing w:after="0" w:line="277"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Restricted Definitive Notes to Unrestricted Definitive Notes.</w:t>
      </w:r>
      <w:r>
        <w:rPr>
          <w:rFonts w:ascii="Times New Roman" w:cs="Times New Roman" w:eastAsia="Times New Roman" w:hAnsi="Times New Roman"/>
          <w:sz w:val="17"/>
          <w:szCs w:val="17"/>
          <w:color w:val="auto"/>
        </w:rPr>
        <w:t xml:space="preserve">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57" w:lineRule="exact"/>
        <w:rPr>
          <w:sz w:val="20"/>
          <w:szCs w:val="20"/>
          <w:color w:val="auto"/>
        </w:rPr>
      </w:pPr>
    </w:p>
    <w:p>
      <w:pPr>
        <w:ind w:left="1380" w:right="160" w:firstLine="371"/>
        <w:spacing w:after="0" w:line="295" w:lineRule="auto"/>
        <w:rPr>
          <w:sz w:val="20"/>
          <w:szCs w:val="20"/>
          <w:color w:val="auto"/>
        </w:rPr>
      </w:pPr>
      <w:r>
        <w:rPr>
          <w:rFonts w:ascii="Times New Roman" w:cs="Times New Roman" w:eastAsia="Times New Roman" w:hAnsi="Times New Roman"/>
          <w:sz w:val="17"/>
          <w:szCs w:val="17"/>
          <w:color w:val="auto"/>
        </w:rPr>
        <w:t>(i)  if the Holder of such Restricted Definitive Notes proposes to exchange such Notes for an Unrestricted Definitive Note, a certificate from such Holder in the form of Exhibit C hereto, including the certifications in item (1)(d) thereof; or</w:t>
      </w:r>
    </w:p>
    <w:p>
      <w:pPr>
        <w:spacing w:after="0" w:line="42" w:lineRule="exact"/>
        <w:rPr>
          <w:sz w:val="20"/>
          <w:szCs w:val="20"/>
          <w:color w:val="auto"/>
        </w:rPr>
      </w:pPr>
    </w:p>
    <w:p>
      <w:pPr>
        <w:ind w:left="1380" w:right="140" w:firstLine="371"/>
        <w:spacing w:after="0" w:line="276" w:lineRule="auto"/>
        <w:rPr>
          <w:sz w:val="20"/>
          <w:szCs w:val="20"/>
          <w:color w:val="auto"/>
        </w:rPr>
      </w:pPr>
      <w:r>
        <w:rPr>
          <w:rFonts w:ascii="Times New Roman" w:cs="Times New Roman" w:eastAsia="Times New Roman" w:hAnsi="Times New Roman"/>
          <w:sz w:val="17"/>
          <w:szCs w:val="17"/>
          <w:color w:val="auto"/>
        </w:rPr>
        <w:t>(ii)  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57" w:lineRule="exact"/>
        <w:rPr>
          <w:sz w:val="20"/>
          <w:szCs w:val="20"/>
          <w:color w:val="auto"/>
        </w:rPr>
      </w:pPr>
    </w:p>
    <w:p>
      <w:pPr>
        <w:ind w:left="960" w:right="40"/>
        <w:spacing w:after="0" w:line="276" w:lineRule="auto"/>
        <w:rPr>
          <w:sz w:val="20"/>
          <w:szCs w:val="20"/>
          <w:color w:val="auto"/>
        </w:rPr>
      </w:pPr>
      <w:r>
        <w:rPr>
          <w:rFonts w:ascii="Times New Roman" w:cs="Times New Roman" w:eastAsia="Times New Roman" w:hAnsi="Times New Roman"/>
          <w:sz w:val="17"/>
          <w:szCs w:val="17"/>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5" w:lineRule="exact"/>
        <w:rPr>
          <w:sz w:val="20"/>
          <w:szCs w:val="20"/>
          <w:color w:val="auto"/>
        </w:rPr>
      </w:pPr>
    </w:p>
    <w:p>
      <w:pPr>
        <w:ind w:left="420" w:right="60" w:firstLine="409"/>
        <w:spacing w:after="0" w:line="277"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Unrestricted Definitive Notes to Unrestricted Definitive Notes.</w:t>
      </w:r>
      <w:r>
        <w:rPr>
          <w:rFonts w:ascii="Times New Roman" w:cs="Times New Roman" w:eastAsia="Times New Roman" w:hAnsi="Times New Roman"/>
          <w:sz w:val="17"/>
          <w:szCs w:val="17"/>
          <w:color w:val="auto"/>
        </w:rPr>
        <w:t xml:space="preserve">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620" w:top="263" w:right="639" w:bottom="1440" w:gutter="0" w:footer="0" w:header="0"/>
        </w:sectPr>
      </w:pPr>
    </w:p>
    <w:bookmarkStart w:id="318" w:name="page319"/>
    <w:bookmarkEnd w:id="318"/>
    <w:p>
      <w:pPr>
        <w:ind w:right="740" w:firstLine="426"/>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(f)  </w:t>
      </w:r>
      <w:r>
        <w:rPr>
          <w:rFonts w:ascii="Times New Roman" w:cs="Times New Roman" w:eastAsia="Times New Roman" w:hAnsi="Times New Roman"/>
          <w:sz w:val="17"/>
          <w:szCs w:val="17"/>
          <w:i w:val="1"/>
          <w:iCs w:val="1"/>
          <w:color w:val="auto"/>
        </w:rPr>
        <w:t>Legends.</w:t>
      </w:r>
      <w:r>
        <w:rPr>
          <w:rFonts w:ascii="Times New Roman" w:cs="Times New Roman" w:eastAsia="Times New Roman" w:hAnsi="Times New Roman"/>
          <w:sz w:val="17"/>
          <w:szCs w:val="17"/>
          <w:color w:val="auto"/>
        </w:rPr>
        <w:t xml:space="preserve"> The following legends will appear on the face of all Global Notes and Definitive Notes issued under this Indenture unless specifically stated otherwise in the applicable provisions of this Indenture.</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Private Placement Legend.</w:t>
      </w:r>
    </w:p>
    <w:p>
      <w:pPr>
        <w:spacing w:after="0" w:line="118" w:lineRule="exact"/>
        <w:rPr>
          <w:sz w:val="20"/>
          <w:szCs w:val="20"/>
          <w:color w:val="auto"/>
        </w:rPr>
      </w:pPr>
    </w:p>
    <w:p>
      <w:pPr>
        <w:ind w:left="960" w:right="100" w:firstLine="388"/>
        <w:spacing w:after="0" w:line="295" w:lineRule="auto"/>
        <w:rPr>
          <w:sz w:val="20"/>
          <w:szCs w:val="20"/>
          <w:color w:val="auto"/>
        </w:rPr>
      </w:pPr>
      <w:r>
        <w:rPr>
          <w:rFonts w:ascii="Times New Roman" w:cs="Times New Roman" w:eastAsia="Times New Roman" w:hAnsi="Times New Roman"/>
          <w:sz w:val="17"/>
          <w:szCs w:val="17"/>
          <w:color w:val="auto"/>
        </w:rPr>
        <w:t>(A)  Except as permitted by subparagraph (B) below, each Global Note and each Definitive Note (and all Notes issued in exchange therefor or substitution thereof) shall bear the legend in substantially the following form:</w:t>
      </w:r>
    </w:p>
    <w:p>
      <w:pPr>
        <w:spacing w:after="0" w:line="42" w:lineRule="exact"/>
        <w:rPr>
          <w:sz w:val="20"/>
          <w:szCs w:val="20"/>
          <w:color w:val="auto"/>
        </w:rPr>
      </w:pPr>
    </w:p>
    <w:p>
      <w:pPr>
        <w:ind w:left="960"/>
        <w:spacing w:after="0" w:line="258" w:lineRule="auto"/>
        <w:rPr>
          <w:sz w:val="20"/>
          <w:szCs w:val="20"/>
          <w:color w:val="auto"/>
        </w:rPr>
      </w:pPr>
      <w:r>
        <w:rPr>
          <w:rFonts w:ascii="Times New Roman" w:cs="Times New Roman" w:eastAsia="Times New Roman" w:hAnsi="Times New Roman"/>
          <w:sz w:val="17"/>
          <w:szCs w:val="17"/>
          <w:color w:val="auto"/>
        </w:rPr>
        <w:t>“THIS NOTE HAS NOT BEEN REGISTERED UNDER THE UNITED STATES SECURITIES ACT OF 1933, AS AMENDED (THE “SECURITIES ACT”), AND, ACCORDINGLY, MAY NOT BE OFFERED OR SOLD, EXCEPT AS SET FORTH IN THE FOLLOWING SENTENCE. BY ITS ACQUISITION HEREOF, THE HOLDER FOR THE BENEFIT OF MELCO RESORTS FINANCE LIMITED (THE “COMPANY”) AND ANY OF ITS SUCCESSORS IN INTEREST (1) REPRESENTS THAT (A) IT IS A “QUALIFIED INSTITUTIONAL BUYER” (AS DEFINED IN RULE 144A UNDER THE SECURITIES ACT) OR (B) IT IS NOT A U.S. PERSON AND IS ACQUIRING THIS NOTE IN AN OFFSHORE TRANSACTION, (2) AGREES THAT IT WILL NOT PRIOR TO THE DATE WHICH IS [IN THE CASE OF RULE 144A NOTES: ONE YEAR] [IN THE CASE OF REGULATION S NOTES: 40 DAYS] (OR SUCH SHORTER PERIOD OF TIME AS PERMITTED BY [RULE 144A] [REGULATION S] UNDER THE SECURITIES ACT OR ANY SUCCESSOR PROVISION THEREUNDER) AFTER THE LATER OF THE DATE OF ORIGINAL ISSUE AND THE LAST DATE ON WHICH THE COMPANY OR ANY AFFILIATE OF THE COMPANY WAS THE OWNER OF THE NOTES (OR ANY PREDECESSOR THERETO) (THE “RESALE RESTRICTION TERMINATION DATE”) RESELL, PLEDGE OR OTHERWISE TRANSFER THIS NOTE OR A BENEFICIAL INTEREST IN THIS NOTE EXCEPT (A) TO THE COMPANY OR ANY OF ITS SUBSIDIARIES, (B) TO A PERSON THAT THE SELLER, AND ANY PERSON ACTING ON ITS BEHALF, REASONABLY BELIEVES IS A QUALIFIED INSTITUTIONAL BUYER IN A TRANSACTION COMPLYING WITH RULE 144A UNDER THE SECURITIES ACT, (C) PURSUANT TO OFFERS AND SALES TO NON-U.S. PERSONS IN AN OFFSHORE TRANSACTION IN COMPLIANCE WITH REGULATION S UNDER THE SECURITIES ACT, (D) PURSUANT TO ANY OTHER AVAILABLE EXEMPTION FROM REGISTRATION UNDER THE SECURITIES ACT OR (E) PURSUANT TO AN EFFECTIVE REGISTRATION STATEMENT UNDER THE SECURITIES ACT, AND IN EACH OF SUCH CASES IN COMPLIANCE WITH ANY APPLICABLE SECURITIES LAW OF ANY STATE OF THE UNITED STATES AND (3) AGREES THAT IT WILL DELIVER TO EACH PERSON TO WHOM THIS NOTE IS TRANSFERRED A NOTICE SUBSTANTIALLY TO THE EFFECT OF THIS LEGEND, PROVIDED THAT THE COMPANY, THE TRUSTEE AND THE REGISTRAR SHALL HAVE THE RIGHT PRIOR TO ANY SUCH OFFER, SALE OR TRANSFER PURSUANT TO CLAUSE (C) PRIOR TO THE END OF THE 40-DAY DISTRIBUTION COMPLIANCE PERIOD WITHIN THE MEANING OF REGULATION S UNDER THE SECURITIES ACT OR PURSUANT TO CLAUSE (D) PRIOR TO THE RESALE RESTRICTION TERMINATION DATE TO REQUIRE THAT AN OPINION OF COUNSEL, CERTIFICATIONS AND/OR OTHER INFORMATION SATISFACTORY TO THE COMPANY, THE TRUSTEE AND THE REGISTRAR IS COMPLETED AND DELIVERED BY THE TRANSFEROR. THIS LEGEND WILL BE REMOVED UPON THE REQUEST OF THE HOLDER AFTER THE RESALE RESTRICTION TERMINATION DATE. THE INDENTURE CONTAINS A PROVISION REQUIRING THE TRUSTEE TO REFUSE TO REGISTER ANY TRANSFER OF THIS NOTE IN VIOLATION OF THE FOREGOING RESTRICTIONS. AS USED HEREIN, THE TERMS “OFFSHORE TRANSACTION,” “UNITED STATES,” AND “U.S. PERSON” HAVE THE MEANING GIVEN TO THEM BY REGULATION S UNDER THE SECURITIES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640"/>
          </w:cols>
          <w:pgMar w:left="620" w:top="263" w:right="639" w:bottom="1440" w:gutter="0" w:footer="0" w:header="0"/>
        </w:sectPr>
      </w:pPr>
    </w:p>
    <w:bookmarkStart w:id="319" w:name="page320"/>
    <w:bookmarkEnd w:id="319"/>
    <w:p>
      <w:pPr>
        <w:ind w:left="12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    Notwithstanding the foregoing, any Global Note or Definitive Note issued pursuant to subparagraphs (b)(4), (c)(2), (d)(2), (d)</w:t>
      </w:r>
    </w:p>
    <w:p>
      <w:pPr>
        <w:spacing w:after="0" w:line="32" w:lineRule="exact"/>
        <w:rPr>
          <w:sz w:val="20"/>
          <w:szCs w:val="20"/>
          <w:color w:val="auto"/>
        </w:rPr>
      </w:pPr>
    </w:p>
    <w:p>
      <w:pPr>
        <w:ind w:left="840" w:right="720"/>
        <w:spacing w:after="0" w:line="273" w:lineRule="auto"/>
        <w:rPr>
          <w:sz w:val="20"/>
          <w:szCs w:val="20"/>
          <w:color w:val="auto"/>
        </w:rPr>
      </w:pPr>
      <w:r>
        <w:rPr>
          <w:rFonts w:ascii="Times New Roman" w:cs="Times New Roman" w:eastAsia="Times New Roman" w:hAnsi="Times New Roman"/>
          <w:sz w:val="17"/>
          <w:szCs w:val="17"/>
          <w:color w:val="auto"/>
        </w:rPr>
        <w:t>(3), (e)(2) or (e)(3) of this Section 2.06 (and all Notes issued in exchange therefor or substitution thereof) will not bear the Private Placement Legend.</w:t>
      </w:r>
    </w:p>
    <w:p>
      <w:pPr>
        <w:spacing w:after="0" w:line="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Global Note Legend</w:t>
      </w:r>
      <w:r>
        <w:rPr>
          <w:rFonts w:ascii="Times New Roman" w:cs="Times New Roman" w:eastAsia="Times New Roman" w:hAnsi="Times New Roman"/>
          <w:sz w:val="17"/>
          <w:szCs w:val="17"/>
          <w:color w:val="auto"/>
        </w:rPr>
        <w:t>. Each Global Note will bear a legend in substantially the following form:</w:t>
      </w:r>
    </w:p>
    <w:p>
      <w:pPr>
        <w:spacing w:after="0" w:line="120" w:lineRule="exact"/>
        <w:rPr>
          <w:sz w:val="20"/>
          <w:szCs w:val="20"/>
          <w:color w:val="auto"/>
        </w:rPr>
      </w:pPr>
    </w:p>
    <w:p>
      <w:pPr>
        <w:ind w:left="420" w:right="120"/>
        <w:spacing w:after="0" w:line="263"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69" w:lineRule="exact"/>
        <w:rPr>
          <w:sz w:val="20"/>
          <w:szCs w:val="20"/>
          <w:color w:val="auto"/>
        </w:rPr>
      </w:pPr>
    </w:p>
    <w:p>
      <w:pPr>
        <w:ind w:left="420"/>
        <w:spacing w:after="0" w:line="260" w:lineRule="auto"/>
        <w:rPr>
          <w:sz w:val="20"/>
          <w:szCs w:val="20"/>
          <w:color w:val="auto"/>
        </w:rPr>
      </w:pPr>
      <w:r>
        <w:rPr>
          <w:rFonts w:ascii="Times New Roman" w:cs="Times New Roman" w:eastAsia="Times New Roman" w:hAnsi="Times New Roman"/>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73"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i w:val="1"/>
          <w:iCs w:val="1"/>
          <w:color w:val="auto"/>
        </w:rPr>
        <w:t>Cancellation and/or Adjustment of Global Notes.</w:t>
      </w:r>
      <w:r>
        <w:rPr>
          <w:rFonts w:ascii="Times New Roman" w:cs="Times New Roman" w:eastAsia="Times New Roman" w:hAnsi="Times New Roman"/>
          <w:sz w:val="17"/>
          <w:szCs w:val="17"/>
          <w:color w:val="auto"/>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(h)    General Provisions Relating to Transfers and Exchanges.</w:t>
      </w:r>
    </w:p>
    <w:p>
      <w:pPr>
        <w:spacing w:after="0" w:line="118" w:lineRule="exact"/>
        <w:rPr>
          <w:sz w:val="20"/>
          <w:szCs w:val="20"/>
          <w:color w:val="auto"/>
        </w:rPr>
      </w:pPr>
    </w:p>
    <w:p>
      <w:pPr>
        <w:ind w:left="420" w:right="440" w:firstLine="409"/>
        <w:spacing w:after="0" w:line="295" w:lineRule="auto"/>
        <w:rPr>
          <w:sz w:val="20"/>
          <w:szCs w:val="20"/>
          <w:color w:val="auto"/>
        </w:rPr>
      </w:pPr>
      <w:r>
        <w:rPr>
          <w:rFonts w:ascii="Times New Roman" w:cs="Times New Roman" w:eastAsia="Times New Roman" w:hAnsi="Times New Roman"/>
          <w:sz w:val="17"/>
          <w:szCs w:val="17"/>
          <w:color w:val="auto"/>
        </w:rPr>
        <w:t>(1)  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00"/>
          </w:cols>
          <w:pgMar w:left="620" w:top="265" w:right="679" w:bottom="1440" w:gutter="0" w:footer="0" w:header="0"/>
        </w:sectPr>
      </w:pPr>
    </w:p>
    <w:bookmarkStart w:id="320" w:name="page321"/>
    <w:bookmarkEnd w:id="320"/>
    <w:p>
      <w:pPr>
        <w:ind w:left="420" w:right="180" w:firstLine="409"/>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4.08, 4.10 and 9.05 hereof).</w:t>
      </w:r>
    </w:p>
    <w:p>
      <w:pPr>
        <w:spacing w:after="0" w:line="65" w:lineRule="exact"/>
        <w:rPr>
          <w:sz w:val="20"/>
          <w:szCs w:val="20"/>
          <w:color w:val="auto"/>
        </w:rPr>
      </w:pPr>
    </w:p>
    <w:p>
      <w:pPr>
        <w:ind w:left="420" w:right="20" w:firstLine="409"/>
        <w:spacing w:after="0" w:line="295" w:lineRule="auto"/>
        <w:rPr>
          <w:sz w:val="20"/>
          <w:szCs w:val="20"/>
          <w:color w:val="auto"/>
        </w:rPr>
      </w:pPr>
      <w:r>
        <w:rPr>
          <w:rFonts w:ascii="Times New Roman" w:cs="Times New Roman" w:eastAsia="Times New Roman" w:hAnsi="Times New Roman"/>
          <w:sz w:val="17"/>
          <w:szCs w:val="17"/>
          <w:color w:val="auto"/>
        </w:rPr>
        <w:t>(3)  The Registrar will not be required to register the transfer of or exchange of any Note selected for redemption in whole or in part, except the unredeemed portion of any Note being redeemed in part.</w:t>
      </w:r>
    </w:p>
    <w:p>
      <w:pPr>
        <w:spacing w:after="0" w:line="42" w:lineRule="exact"/>
        <w:rPr>
          <w:sz w:val="20"/>
          <w:szCs w:val="20"/>
          <w:color w:val="auto"/>
        </w:rPr>
      </w:pPr>
    </w:p>
    <w:p>
      <w:pPr>
        <w:ind w:left="420" w:right="60" w:firstLine="409"/>
        <w:spacing w:after="0" w:line="276" w:lineRule="auto"/>
        <w:rPr>
          <w:sz w:val="20"/>
          <w:szCs w:val="20"/>
          <w:color w:val="auto"/>
        </w:rPr>
      </w:pPr>
      <w:r>
        <w:rPr>
          <w:rFonts w:ascii="Times New Roman" w:cs="Times New Roman" w:eastAsia="Times New Roman" w:hAnsi="Times New Roman"/>
          <w:sz w:val="17"/>
          <w:szCs w:val="17"/>
          <w:color w:val="auto"/>
        </w:rPr>
        <w:t>(4)  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(5)   Neither the Registrar nor the Company will be required:</w:t>
      </w:r>
    </w:p>
    <w:p>
      <w:pPr>
        <w:spacing w:after="0" w:line="118" w:lineRule="exact"/>
        <w:rPr>
          <w:sz w:val="20"/>
          <w:szCs w:val="20"/>
          <w:color w:val="auto"/>
        </w:rPr>
      </w:pPr>
    </w:p>
    <w:p>
      <w:pPr>
        <w:ind w:left="840" w:right="80" w:firstLine="392"/>
        <w:spacing w:after="0" w:line="295" w:lineRule="auto"/>
        <w:rPr>
          <w:sz w:val="20"/>
          <w:szCs w:val="20"/>
          <w:color w:val="auto"/>
        </w:rPr>
      </w:pPr>
      <w:r>
        <w:rPr>
          <w:rFonts w:ascii="Times New Roman" w:cs="Times New Roman" w:eastAsia="Times New Roman" w:hAnsi="Times New Roman"/>
          <w:sz w:val="17"/>
          <w:szCs w:val="17"/>
          <w:color w:val="auto"/>
        </w:rPr>
        <w:t>(A)  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42" w:lineRule="exact"/>
        <w:rPr>
          <w:sz w:val="20"/>
          <w:szCs w:val="20"/>
          <w:color w:val="auto"/>
        </w:rPr>
      </w:pPr>
    </w:p>
    <w:p>
      <w:pPr>
        <w:ind w:left="840" w:right="100" w:firstLine="392"/>
        <w:spacing w:after="0" w:line="295" w:lineRule="auto"/>
        <w:rPr>
          <w:sz w:val="20"/>
          <w:szCs w:val="20"/>
          <w:color w:val="auto"/>
        </w:rPr>
      </w:pPr>
      <w:r>
        <w:rPr>
          <w:rFonts w:ascii="Times New Roman" w:cs="Times New Roman" w:eastAsia="Times New Roman" w:hAnsi="Times New Roman"/>
          <w:sz w:val="17"/>
          <w:szCs w:val="17"/>
          <w:color w:val="auto"/>
        </w:rPr>
        <w:t>(B)  to register the transfer of or to exchange any Note selected for redemption in whole or in part, except the unredeemed portion of any Note being redeemed in part; or</w:t>
      </w:r>
    </w:p>
    <w:p>
      <w:pPr>
        <w:spacing w:after="0" w:line="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   to register the transfer of or to exchange a Note between a record date and the next succeeding interest payment date.</w:t>
      </w:r>
    </w:p>
    <w:p>
      <w:pPr>
        <w:spacing w:after="0" w:line="118" w:lineRule="exact"/>
        <w:rPr>
          <w:sz w:val="20"/>
          <w:szCs w:val="20"/>
          <w:color w:val="auto"/>
        </w:rPr>
      </w:pPr>
    </w:p>
    <w:p>
      <w:pPr>
        <w:jc w:val="both"/>
        <w:ind w:left="420" w:right="40" w:firstLine="409"/>
        <w:spacing w:after="0" w:line="276" w:lineRule="auto"/>
        <w:rPr>
          <w:sz w:val="20"/>
          <w:szCs w:val="20"/>
          <w:color w:val="auto"/>
        </w:rPr>
      </w:pPr>
      <w:r>
        <w:rPr>
          <w:rFonts w:ascii="Times New Roman" w:cs="Times New Roman" w:eastAsia="Times New Roman" w:hAnsi="Times New Roman"/>
          <w:sz w:val="17"/>
          <w:szCs w:val="17"/>
          <w:color w:val="auto"/>
        </w:rPr>
        <w:t>(6)  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(7)   The Trustee will authenticate Global Notes and Definitive Notes in accordance with the provisions of Section 2.02 hereof.</w:t>
      </w:r>
    </w:p>
    <w:p>
      <w:pPr>
        <w:spacing w:after="0" w:line="118" w:lineRule="exact"/>
        <w:rPr>
          <w:sz w:val="20"/>
          <w:szCs w:val="20"/>
          <w:color w:val="auto"/>
        </w:rPr>
      </w:pPr>
    </w:p>
    <w:p>
      <w:pPr>
        <w:jc w:val="both"/>
        <w:ind w:left="420" w:right="40" w:firstLine="409"/>
        <w:spacing w:after="0" w:line="295" w:lineRule="auto"/>
        <w:rPr>
          <w:sz w:val="20"/>
          <w:szCs w:val="20"/>
          <w:color w:val="auto"/>
        </w:rPr>
      </w:pPr>
      <w:r>
        <w:rPr>
          <w:rFonts w:ascii="Times New Roman" w:cs="Times New Roman" w:eastAsia="Times New Roman" w:hAnsi="Times New Roman"/>
          <w:sz w:val="17"/>
          <w:szCs w:val="17"/>
          <w:color w:val="auto"/>
        </w:rPr>
        <w:t>(8)  All certifications, certificates and Opinions of Counsel required to be submitted to the Registrar pursuant to this Section 2.06 to effect a registration of transfer or exchange may be submitted by facsimile.</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2.07   Replacement Notes.</w:t>
      </w:r>
    </w:p>
    <w:p>
      <w:pPr>
        <w:spacing w:after="0" w:line="120"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its expenses in replacing a Note, including, but not limited to the reasonable expenses of counsel and any tax that may be imposed with respect to replacement of such Note.</w:t>
      </w:r>
    </w:p>
    <w:p>
      <w:pPr>
        <w:spacing w:after="0" w:line="69" w:lineRule="exact"/>
        <w:rPr>
          <w:sz w:val="20"/>
          <w:szCs w:val="20"/>
          <w:color w:val="auto"/>
        </w:rPr>
      </w:pPr>
    </w:p>
    <w:p>
      <w:pPr>
        <w:ind w:right="660" w:firstLine="426"/>
        <w:spacing w:after="0" w:line="295" w:lineRule="auto"/>
        <w:rPr>
          <w:sz w:val="20"/>
          <w:szCs w:val="20"/>
          <w:color w:val="auto"/>
        </w:rPr>
      </w:pPr>
      <w:r>
        <w:rPr>
          <w:rFonts w:ascii="Times New Roman" w:cs="Times New Roman" w:eastAsia="Times New Roman" w:hAnsi="Times New Roman"/>
          <w:sz w:val="17"/>
          <w:szCs w:val="17"/>
          <w:color w:val="auto"/>
        </w:rPr>
        <w:t>Every replacement Note is an additional obligation of the Company and will be entitled to all of the benefits of this Indenture equally and proportionately with all other Notes duly issued hereunder.</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2.08   Outstanding Notes.</w:t>
      </w:r>
    </w:p>
    <w:p>
      <w:pPr>
        <w:spacing w:after="0" w:line="120" w:lineRule="exact"/>
        <w:rPr>
          <w:sz w:val="20"/>
          <w:szCs w:val="20"/>
          <w:color w:val="auto"/>
        </w:rPr>
      </w:pPr>
    </w:p>
    <w:p>
      <w:pPr>
        <w:ind w:right="200" w:firstLine="426"/>
        <w:spacing w:after="0" w:line="266" w:lineRule="auto"/>
        <w:rPr>
          <w:sz w:val="20"/>
          <w:szCs w:val="20"/>
          <w:color w:val="auto"/>
        </w:rPr>
      </w:pPr>
      <w:r>
        <w:rPr>
          <w:rFonts w:ascii="Times New Roman" w:cs="Times New Roman" w:eastAsia="Times New Roman" w:hAnsi="Times New Roman"/>
          <w:sz w:val="17"/>
          <w:szCs w:val="17"/>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60"/>
          </w:cols>
          <w:pgMar w:left="620" w:top="264" w:right="619" w:bottom="1440" w:gutter="0" w:footer="0" w:header="0"/>
        </w:sectPr>
      </w:pPr>
    </w:p>
    <w:bookmarkStart w:id="321" w:name="page322"/>
    <w:bookmarkEnd w:id="321"/>
    <w:p>
      <w:pPr>
        <w:ind w:right="64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a Note is replaced pursuant to Section 2.07 hereof, it ceases to be outstanding unless the Trustee receives proof satisfactory to it that the replaced Note is held by a protected purchaser.</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the principal amount of any Note is considered paid under Section 4.01 hereof, it ceases to be outstanding and interest on it ceases to accrue.</w:t>
      </w:r>
    </w:p>
    <w:p>
      <w:pPr>
        <w:spacing w:after="0" w:line="223" w:lineRule="exact"/>
        <w:rPr>
          <w:sz w:val="20"/>
          <w:szCs w:val="20"/>
          <w:color w:val="auto"/>
        </w:rPr>
      </w:pPr>
    </w:p>
    <w:p>
      <w:pPr>
        <w:ind w:right="340" w:firstLine="426"/>
        <w:spacing w:after="0" w:line="276" w:lineRule="auto"/>
        <w:rPr>
          <w:sz w:val="20"/>
          <w:szCs w:val="20"/>
          <w:color w:val="auto"/>
        </w:rPr>
      </w:pPr>
      <w:r>
        <w:rPr>
          <w:rFonts w:ascii="Times New Roman" w:cs="Times New Roman" w:eastAsia="Times New Roman" w:hAnsi="Times New Roman"/>
          <w:sz w:val="17"/>
          <w:szCs w:val="17"/>
          <w:color w:val="auto"/>
        </w:rPr>
        <w:t>If the Paying Agent (other than the Company, a Subsidiary or an Affiliate of any thereof) holds, in accordance with this Indenture, on a redemption date or maturity date, money sufficient to pay Notes payable on that date, then on and after that date such Notes will be deemed to be no longer outstanding and will cease to accrue interest.</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2.09   Treasury Notes.</w:t>
      </w:r>
    </w:p>
    <w:p>
      <w:pPr>
        <w:spacing w:after="0" w:line="120" w:lineRule="exact"/>
        <w:rPr>
          <w:sz w:val="20"/>
          <w:szCs w:val="20"/>
          <w:color w:val="auto"/>
        </w:rPr>
      </w:pPr>
    </w:p>
    <w:p>
      <w:pPr>
        <w:ind w:right="20" w:firstLine="426"/>
        <w:spacing w:after="0" w:line="269"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Notes have concurred in any direction, waiver or consent, Notes owned by the Company or any of its Subsidiaries, or by any Person directly or indirectly controlling or controlled by or under direct or indirect common control with the Company or any of its Subsidiaries,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2.10   Temporary Notes.</w:t>
      </w:r>
    </w:p>
    <w:p>
      <w:pPr>
        <w:spacing w:after="0" w:line="120" w:lineRule="exact"/>
        <w:rPr>
          <w:sz w:val="20"/>
          <w:szCs w:val="20"/>
          <w:color w:val="auto"/>
        </w:rPr>
      </w:pPr>
    </w:p>
    <w:p>
      <w:pPr>
        <w:ind w:right="180" w:firstLine="426"/>
        <w:spacing w:after="0" w:line="269" w:lineRule="auto"/>
        <w:rPr>
          <w:sz w:val="20"/>
          <w:szCs w:val="20"/>
          <w:color w:val="auto"/>
        </w:rPr>
      </w:pPr>
      <w:r>
        <w:rPr>
          <w:rFonts w:ascii="Times New Roman" w:cs="Times New Roman" w:eastAsia="Times New Roman" w:hAnsi="Times New Roman"/>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Holders of temporary Notes will be entitled to all of the benefits of this Indenture.</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2.11   Cancellation.</w:t>
      </w:r>
    </w:p>
    <w:p>
      <w:pPr>
        <w:spacing w:after="0" w:line="120"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destroy canceled Notes (subject to the Trustee’s record retention requirements). Certification of the destruction of all canceled Notes will be delivered to the Company. The Company may not issue new Notes to replace Notes that it has paid or that have been delivered to the Trustee for cancellation.</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2.12   Defaulted Interest.</w:t>
      </w:r>
    </w:p>
    <w:p>
      <w:pPr>
        <w:spacing w:after="0" w:line="118" w:lineRule="exact"/>
        <w:rPr>
          <w:sz w:val="20"/>
          <w:szCs w:val="20"/>
          <w:color w:val="auto"/>
        </w:rPr>
      </w:pPr>
    </w:p>
    <w:p>
      <w:pPr>
        <w:ind w:right="60" w:firstLine="426"/>
        <w:spacing w:after="0" w:line="263" w:lineRule="auto"/>
        <w:rPr>
          <w:sz w:val="20"/>
          <w:szCs w:val="20"/>
          <w:color w:val="auto"/>
        </w:rPr>
      </w:pPr>
      <w:r>
        <w:rPr>
          <w:rFonts w:ascii="Times New Roman" w:cs="Times New Roman" w:eastAsia="Times New Roman" w:hAnsi="Times New Roman"/>
          <w:sz w:val="17"/>
          <w:szCs w:val="17"/>
          <w:color w:val="auto"/>
        </w:rPr>
        <w:t xml:space="preserve">If the Company defaults in a payment of interest on the Notes, it will pay the defaulted interest in any lawful manner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620" w:top="265" w:right="619" w:bottom="1440" w:gutter="0" w:footer="0" w:header="0"/>
        </w:sectPr>
      </w:pPr>
    </w:p>
    <w:bookmarkStart w:id="322" w:name="page323"/>
    <w:bookmarkEnd w:id="322"/>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2.13   Additional Amounts.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All payments by or on behalf of the Company of principal of, and premium, if any, and interest on the Notes will be made without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withholding or deduction for, or on account of, any present or future taxes, duties, assessments or governmental charges of whatever nature (“</w:t>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imposed or levied by the Cayman Islands, Macau, any jurisdiction in which the Company is resident for tax purposes or any jurisdiction from or through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payments are made by or on behalf of the Company (or any political subdivision or taxing authority thereof or therein) (each, as applicable,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Relevant Jurisdiction</w:t>
      </w:r>
      <w:r>
        <w:rPr>
          <w:rFonts w:ascii="Times New Roman" w:cs="Times New Roman" w:eastAsia="Times New Roman" w:hAnsi="Times New Roman"/>
          <w:sz w:val="17"/>
          <w:szCs w:val="17"/>
          <w:color w:val="auto"/>
        </w:rPr>
        <w:t>”), unless such withholding or deduction is required by law. In such event, the Company will make such withholding or deduction,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make payment of the amount so withheld or deducted to the appropriate Governmental Authority as required by applicable law and will pay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amounts (“</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as will result in receipt by the Holder of such amounts as would have been received by such holder had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withholding or deduction been required;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Additional Amounts will be payable with respect to any Note for or on account of:</w:t>
      </w:r>
    </w:p>
    <w:p>
      <w:pPr>
        <w:spacing w:after="0" w:line="1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any Taxes that would not have been imposed but for:</w:t>
      </w:r>
    </w:p>
    <w:p>
      <w:pPr>
        <w:spacing w:after="0" w:line="118" w:lineRule="exact"/>
        <w:rPr>
          <w:sz w:val="20"/>
          <w:szCs w:val="20"/>
          <w:color w:val="auto"/>
        </w:rPr>
      </w:pPr>
    </w:p>
    <w:p>
      <w:pPr>
        <w:ind w:left="840" w:right="280" w:firstLine="490"/>
        <w:spacing w:after="0" w:line="266" w:lineRule="auto"/>
        <w:rPr>
          <w:sz w:val="20"/>
          <w:szCs w:val="20"/>
          <w:color w:val="auto"/>
        </w:rPr>
      </w:pPr>
      <w:r>
        <w:rPr>
          <w:rFonts w:ascii="Times New Roman" w:cs="Times New Roman" w:eastAsia="Times New Roman" w:hAnsi="Times New Roman"/>
          <w:sz w:val="17"/>
          <w:szCs w:val="17"/>
          <w:color w:val="auto"/>
        </w:rPr>
        <w:t>(A)  the existence of any present or former connection between the Holder or beneficial owner of such Note, as the case may be, and the Relevant Jurisdiction including, without limitation, such holder or beneficial owner being or having been a citizen or resident of such Relevant Jurisdiction, being or having been treated as a resident of such Relevant Jurisdiction or being or having been present or engaged in a trade or business in such Relevant Jurisdiction or having or having had a permanent establishment in such Relevant Jurisdiction, other than merely holding such Note or the receipt of payments thereunder;</w:t>
      </w:r>
    </w:p>
    <w:p>
      <w:pPr>
        <w:spacing w:after="0" w:line="67" w:lineRule="exact"/>
        <w:rPr>
          <w:sz w:val="20"/>
          <w:szCs w:val="20"/>
          <w:color w:val="auto"/>
        </w:rPr>
      </w:pPr>
    </w:p>
    <w:p>
      <w:pPr>
        <w:jc w:val="both"/>
        <w:ind w:left="840" w:firstLine="490"/>
        <w:spacing w:after="0" w:line="269" w:lineRule="auto"/>
        <w:rPr>
          <w:sz w:val="20"/>
          <w:szCs w:val="20"/>
          <w:color w:val="auto"/>
        </w:rPr>
      </w:pPr>
      <w:r>
        <w:rPr>
          <w:rFonts w:ascii="Times New Roman" w:cs="Times New Roman" w:eastAsia="Times New Roman" w:hAnsi="Times New Roman"/>
          <w:sz w:val="17"/>
          <w:szCs w:val="17"/>
          <w:color w:val="auto"/>
        </w:rPr>
        <w:t>(B)  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65" w:lineRule="exact"/>
        <w:rPr>
          <w:sz w:val="20"/>
          <w:szCs w:val="20"/>
          <w:color w:val="auto"/>
        </w:rPr>
      </w:pPr>
    </w:p>
    <w:p>
      <w:pPr>
        <w:ind w:left="840" w:right="60" w:firstLine="490"/>
        <w:spacing w:after="0" w:line="276" w:lineRule="auto"/>
        <w:rPr>
          <w:sz w:val="20"/>
          <w:szCs w:val="20"/>
          <w:color w:val="auto"/>
        </w:rPr>
      </w:pPr>
      <w:r>
        <w:rPr>
          <w:rFonts w:ascii="Times New Roman" w:cs="Times New Roman" w:eastAsia="Times New Roman" w:hAnsi="Times New Roman"/>
          <w:sz w:val="17"/>
          <w:szCs w:val="17"/>
          <w:color w:val="auto"/>
        </w:rPr>
        <w:t>(C)  the failure of the Holder or beneficial owner of such Note to comply with a timely request of the Company (or other applicable withholding agent) addressed to such Holder or beneficial owner to provide information concerning such Holder’s or beneficial owner’s nationality, residence, identity or connection with the Relevant Jurisdiction; or</w:t>
      </w:r>
    </w:p>
    <w:p>
      <w:pPr>
        <w:spacing w:after="0" w:line="57" w:lineRule="exact"/>
        <w:rPr>
          <w:sz w:val="20"/>
          <w:szCs w:val="20"/>
          <w:color w:val="auto"/>
        </w:rPr>
      </w:pPr>
    </w:p>
    <w:p>
      <w:pPr>
        <w:ind w:left="840" w:right="40" w:firstLine="490"/>
        <w:spacing w:after="0" w:line="295" w:lineRule="auto"/>
        <w:rPr>
          <w:sz w:val="20"/>
          <w:szCs w:val="20"/>
          <w:color w:val="auto"/>
        </w:rPr>
      </w:pPr>
      <w:r>
        <w:rPr>
          <w:rFonts w:ascii="Times New Roman" w:cs="Times New Roman" w:eastAsia="Times New Roman" w:hAnsi="Times New Roman"/>
          <w:sz w:val="17"/>
          <w:szCs w:val="17"/>
          <w:color w:val="auto"/>
        </w:rPr>
        <w:t>(D)  the presentation of such Note (where presentation is required) for payment in the Relevant Jurisdiction, unless such Note could not have been presented for payment elsewhere;</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any estate, inheritance, gift, sale, transfer, excise, personal property, net income or similar Tax;</w:t>
      </w:r>
    </w:p>
    <w:p>
      <w:pPr>
        <w:spacing w:after="0" w:line="118" w:lineRule="exact"/>
        <w:rPr>
          <w:sz w:val="20"/>
          <w:szCs w:val="20"/>
          <w:color w:val="auto"/>
        </w:rPr>
      </w:pPr>
    </w:p>
    <w:p>
      <w:pPr>
        <w:ind w:left="420" w:right="120" w:firstLine="409"/>
        <w:spacing w:after="0" w:line="269" w:lineRule="auto"/>
        <w:rPr>
          <w:sz w:val="20"/>
          <w:szCs w:val="20"/>
          <w:color w:val="auto"/>
        </w:rPr>
      </w:pPr>
      <w:r>
        <w:rPr>
          <w:rFonts w:ascii="Times New Roman" w:cs="Times New Roman" w:eastAsia="Times New Roman" w:hAnsi="Times New Roman"/>
          <w:sz w:val="17"/>
          <w:szCs w:val="17"/>
          <w:color w:val="auto"/>
        </w:rPr>
        <w:t>(3)  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U.S. or non-U.S. law enacted in connection with an intergovernmental agreement related thereto, or any rules, regulations, or administrative guidance of any kind relating to any of the foregoing;</w:t>
      </w:r>
    </w:p>
    <w:p>
      <w:pPr>
        <w:spacing w:after="0" w:line="65" w:lineRule="exact"/>
        <w:rPr>
          <w:sz w:val="20"/>
          <w:szCs w:val="20"/>
          <w:color w:val="auto"/>
        </w:rPr>
      </w:pPr>
    </w:p>
    <w:p>
      <w:pPr>
        <w:ind w:left="420" w:right="60" w:firstLine="409"/>
        <w:spacing w:after="0" w:line="295" w:lineRule="auto"/>
        <w:rPr>
          <w:sz w:val="20"/>
          <w:szCs w:val="20"/>
          <w:color w:val="auto"/>
        </w:rPr>
      </w:pPr>
      <w:r>
        <w:rPr>
          <w:rFonts w:ascii="Times New Roman" w:cs="Times New Roman" w:eastAsia="Times New Roman" w:hAnsi="Times New Roman"/>
          <w:sz w:val="17"/>
          <w:szCs w:val="17"/>
          <w:color w:val="auto"/>
        </w:rPr>
        <w:t>(4)  any Taxes that are payable other than (i) by withholding or deduction from payments of principal of, or premium (if any) or interest on the Note, or (ii) by direct payment by the Company in respect of claims made against the Company; or</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(5)   any combination of Taxes referred to in the preceding clauses (1), (2), (3) and (4); or</w:t>
      </w:r>
    </w:p>
    <w:p>
      <w:pPr>
        <w:spacing w:after="0" w:line="1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40"/>
          </w:cols>
          <w:pgMar w:left="620" w:top="263" w:right="639" w:bottom="1440" w:gutter="0" w:footer="0" w:header="0"/>
        </w:sectPr>
      </w:pPr>
    </w:p>
    <w:bookmarkStart w:id="323" w:name="page324"/>
    <w:bookmarkEnd w:id="323"/>
    <w:p>
      <w:pPr>
        <w:ind w:right="120" w:firstLine="42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  with respect to any payment of the principal of, or premium, if any, or interest on, such Note to or for the account of a fiduciary, partnership or other fiscally transparent entity or any other person (other than the sole beneficial owner of such payment) to the extent that a beneficiary or settlor with respect to that fiduciary, or a partner or member of that partnership or fiscally transparent entity or a beneficial owner with respect to such other person, as the case may be, who would not have been entitled to such Additional Amounts had such beneficiary, settlor, partner, member or beneficial owner held directly the Note with respect to which such payment was made.</w:t>
      </w:r>
    </w:p>
    <w:p>
      <w:pPr>
        <w:spacing w:after="0" w:line="171"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(c)  In addition to the foregoing, the Company will also pay and indemnify the Holder for any present or future stamp, issue, registration, court or documentary taxes, or any other excise or property taxes, charges or similar levies (including penalties and interest) which are levied by any Relevant Jurisdiction on the execution, delivery, issuance, or registration of any of the Notes, this Indenture or any other document or instrument referred to herein, or the receipt of any payments with respect thereto, or enforcement of, any of the Notes. The Company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 and the Paying Agent. Such copies shall be made available to the Holders upon request and will be made available at the offices of the Paying Agent. The Company will attach to each certified copy a certificate stating (x) that the amount of withholding taxes evidenced by the certified copy was paid in connection with payments in respect of the principal amount of Notes then outstanding and (y) the amount of such withholding taxes paid per US$1,000 principal amount of the Notes.</w:t>
      </w:r>
    </w:p>
    <w:p>
      <w:pPr>
        <w:spacing w:after="0" w:line="174" w:lineRule="exact"/>
        <w:rPr>
          <w:sz w:val="20"/>
          <w:szCs w:val="20"/>
          <w:color w:val="auto"/>
        </w:rPr>
      </w:pPr>
    </w:p>
    <w:p>
      <w:pPr>
        <w:jc w:val="both"/>
        <w:ind w:right="240" w:firstLine="426"/>
        <w:spacing w:after="0" w:line="276" w:lineRule="auto"/>
        <w:rPr>
          <w:sz w:val="20"/>
          <w:szCs w:val="20"/>
          <w:color w:val="auto"/>
        </w:rPr>
      </w:pPr>
      <w:r>
        <w:rPr>
          <w:rFonts w:ascii="Times New Roman" w:cs="Times New Roman" w:eastAsia="Times New Roman" w:hAnsi="Times New Roman"/>
          <w:sz w:val="17"/>
          <w:szCs w:val="17"/>
          <w:color w:val="auto"/>
        </w:rPr>
        <w:t>(d)  Whenever there is mentioned in any context the payment of principal of, and any premium or interest, on any Note, such mention will be deemed to include payment of Additional Amounts provided for in this Indenture to the extent that, in such context, Additional Amounts are, were or would be payable in respect thereof.</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2.14   Agents.</w:t>
      </w:r>
    </w:p>
    <w:p>
      <w:pPr>
        <w:spacing w:after="0" w:line="133" w:lineRule="exact"/>
        <w:rPr>
          <w:sz w:val="20"/>
          <w:szCs w:val="20"/>
          <w:color w:val="auto"/>
        </w:rPr>
      </w:pPr>
    </w:p>
    <w:p>
      <w:pPr>
        <w:ind w:left="940" w:right="240" w:hanging="530"/>
        <w:spacing w:after="0" w:line="295" w:lineRule="auto"/>
        <w:tabs>
          <w:tab w:leader="none" w:pos="94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Agents. The rights, powers, duties and obligations and actions of each Agent under this Indenture are several and not joint or joint and several.</w:t>
      </w:r>
    </w:p>
    <w:p>
      <w:pPr>
        <w:spacing w:after="0" w:line="55" w:lineRule="exact"/>
        <w:rPr>
          <w:rFonts w:ascii="Times New Roman" w:cs="Times New Roman" w:eastAsia="Times New Roman" w:hAnsi="Times New Roman"/>
          <w:sz w:val="17"/>
          <w:szCs w:val="17"/>
          <w:color w:val="auto"/>
        </w:rPr>
      </w:pPr>
    </w:p>
    <w:p>
      <w:pPr>
        <w:ind w:left="940" w:right="140" w:hanging="530"/>
        <w:spacing w:after="0" w:line="269" w:lineRule="auto"/>
        <w:tabs>
          <w:tab w:leader="none" w:pos="94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Agents of Trustee. The Company and the Agents acknowledge and agree that in the event of a Default or Event of Default, the Trustee may, by notice in writing to the Company and the Agents, require that the Agents act as agents of, and take instructions exclusively from, the Trustee. Prior to receiving such written notice from the Trustee, the Agents shall be the agents of the Company and need have no concern for the interests of the Holders.</w:t>
      </w:r>
    </w:p>
    <w:p>
      <w:pPr>
        <w:spacing w:after="0" w:line="77" w:lineRule="exact"/>
        <w:rPr>
          <w:rFonts w:ascii="Times New Roman" w:cs="Times New Roman" w:eastAsia="Times New Roman" w:hAnsi="Times New Roman"/>
          <w:sz w:val="17"/>
          <w:szCs w:val="17"/>
          <w:color w:val="auto"/>
        </w:rPr>
      </w:pPr>
    </w:p>
    <w:p>
      <w:pPr>
        <w:ind w:left="940" w:right="120" w:hanging="530"/>
        <w:spacing w:after="0" w:line="295" w:lineRule="auto"/>
        <w:tabs>
          <w:tab w:leader="none" w:pos="94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held by Agents. The Agents will hold all funds as banker subject to the terms of this Indenture and as a result such money need not be segregated from other funds except to the extent required by law.</w:t>
      </w:r>
    </w:p>
    <w:p>
      <w:pPr>
        <w:spacing w:after="0" w:line="55" w:lineRule="exact"/>
        <w:rPr>
          <w:rFonts w:ascii="Times New Roman" w:cs="Times New Roman" w:eastAsia="Times New Roman" w:hAnsi="Times New Roman"/>
          <w:sz w:val="17"/>
          <w:szCs w:val="17"/>
          <w:color w:val="auto"/>
        </w:rPr>
      </w:pPr>
    </w:p>
    <w:p>
      <w:pPr>
        <w:ind w:left="940" w:right="160" w:hanging="530"/>
        <w:spacing w:after="0" w:line="295" w:lineRule="auto"/>
        <w:tabs>
          <w:tab w:leader="none" w:pos="94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Notices. For so long as the Notes are held as Book-Entry Interests in Global Notes, any obligation the Agents may have to publish a notice to Holders on behalf of the Company will be satisfied upon delivery of the notice to DTC.</w:t>
      </w:r>
    </w:p>
    <w:p>
      <w:pPr>
        <w:spacing w:after="0" w:line="55" w:lineRule="exact"/>
        <w:rPr>
          <w:rFonts w:ascii="Times New Roman" w:cs="Times New Roman" w:eastAsia="Times New Roman" w:hAnsi="Times New Roman"/>
          <w:sz w:val="17"/>
          <w:szCs w:val="17"/>
          <w:color w:val="auto"/>
        </w:rPr>
      </w:pPr>
    </w:p>
    <w:p>
      <w:pPr>
        <w:ind w:left="940" w:right="240" w:hanging="530"/>
        <w:spacing w:after="0" w:line="269" w:lineRule="auto"/>
        <w:tabs>
          <w:tab w:leader="none" w:pos="94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2.14, then such Agent shall be entitled to take no action until such clarification is provided, and shall not incur any liability for not taking any action pending receipt of such clarification.</w:t>
      </w:r>
    </w:p>
    <w:p>
      <w:pPr>
        <w:spacing w:after="0" w:line="77" w:lineRule="exact"/>
        <w:rPr>
          <w:rFonts w:ascii="Times New Roman" w:cs="Times New Roman" w:eastAsia="Times New Roman" w:hAnsi="Times New Roman"/>
          <w:sz w:val="17"/>
          <w:szCs w:val="17"/>
          <w:color w:val="auto"/>
        </w:rPr>
      </w:pPr>
    </w:p>
    <w:p>
      <w:pPr>
        <w:ind w:left="940" w:right="120" w:hanging="530"/>
        <w:spacing w:after="0" w:line="295" w:lineRule="auto"/>
        <w:tabs>
          <w:tab w:leader="none" w:pos="94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Save as provided in this Section 2.14, no Agent shall be under any duty or other obligation towards, or have any relationship of agency or trust for or with, any person other than the Company.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40"/>
          </w:cols>
          <w:pgMar w:left="620" w:top="264" w:right="639" w:bottom="1440" w:gutter="0" w:footer="0" w:header="0"/>
        </w:sectPr>
      </w:pPr>
    </w:p>
    <w:bookmarkStart w:id="324" w:name="page325"/>
    <w:bookmarkEnd w:id="324"/>
    <w:p>
      <w:pPr>
        <w:ind w:left="940" w:right="160" w:hanging="530"/>
        <w:spacing w:after="0" w:line="276" w:lineRule="auto"/>
        <w:tabs>
          <w:tab w:leader="none" w:pos="94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 Agent shall be required to make any payment under this Indenture unless and until it has received the full amount to be paid in accordance with the terms of this Indenture. To the extent that an Agent has made a payment for which it did not receive the full amount, the Company will reimburse the Agent the full amount of any shortfall.</w:t>
      </w:r>
    </w:p>
    <w:p>
      <w:pPr>
        <w:spacing w:after="0" w:line="70" w:lineRule="exact"/>
        <w:rPr>
          <w:rFonts w:ascii="Times New Roman" w:cs="Times New Roman" w:eastAsia="Times New Roman" w:hAnsi="Times New Roman"/>
          <w:sz w:val="17"/>
          <w:szCs w:val="17"/>
          <w:color w:val="auto"/>
        </w:rPr>
      </w:pPr>
    </w:p>
    <w:p>
      <w:pPr>
        <w:ind w:left="940" w:right="140" w:hanging="530"/>
        <w:spacing w:after="0" w:line="276" w:lineRule="auto"/>
        <w:tabs>
          <w:tab w:leader="none" w:pos="94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roles, duties and functions of the Agents are of an administrative nature and each Agent shall only perform those acts and duties as specifically set out in this Indenture and no other acts, covenants, obligations or duties shall be implied or read into this Indenture against any of the Agents.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REDEMPTION AND PREPAYMENT</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3.01   Notices to Trustee.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the Company elects to redeem Notes pursuant to the optional redemption provisions of Section 3.07 hereof, it must furnish to the Trustee,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Registrar and the Paying Agent, at least 30 days but not more than 60 days before a redemption date, an Officer’s Certificate setting forth:</w:t>
      </w:r>
    </w:p>
    <w:p>
      <w:pPr>
        <w:spacing w:after="0" w:line="113" w:lineRule="exact"/>
        <w:rPr>
          <w:sz w:val="20"/>
          <w:szCs w:val="20"/>
          <w:color w:val="auto"/>
        </w:rPr>
      </w:pPr>
    </w:p>
    <w:p>
      <w:pPr>
        <w:ind w:left="1360" w:hanging="414"/>
        <w:spacing w:after="0"/>
        <w:tabs>
          <w:tab w:leader="none" w:pos="136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clause of this Indenture pursuant to which the redemption shall occur;</w:t>
      </w:r>
    </w:p>
    <w:p>
      <w:pPr>
        <w:spacing w:after="0" w:line="131" w:lineRule="exact"/>
        <w:rPr>
          <w:rFonts w:ascii="Times New Roman" w:cs="Times New Roman" w:eastAsia="Times New Roman" w:hAnsi="Times New Roman"/>
          <w:sz w:val="17"/>
          <w:szCs w:val="17"/>
          <w:color w:val="auto"/>
        </w:rPr>
      </w:pPr>
    </w:p>
    <w:p>
      <w:pPr>
        <w:ind w:left="1360" w:hanging="414"/>
        <w:spacing w:after="0"/>
        <w:tabs>
          <w:tab w:leader="none" w:pos="136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w:t>
      </w:r>
    </w:p>
    <w:p>
      <w:pPr>
        <w:spacing w:after="0" w:line="131" w:lineRule="exact"/>
        <w:rPr>
          <w:rFonts w:ascii="Times New Roman" w:cs="Times New Roman" w:eastAsia="Times New Roman" w:hAnsi="Times New Roman"/>
          <w:sz w:val="17"/>
          <w:szCs w:val="17"/>
          <w:color w:val="auto"/>
        </w:rPr>
      </w:pPr>
    </w:p>
    <w:p>
      <w:pPr>
        <w:ind w:left="1360" w:hanging="414"/>
        <w:spacing w:after="0"/>
        <w:tabs>
          <w:tab w:leader="none" w:pos="136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Notes to be redeemed; and</w:t>
      </w:r>
    </w:p>
    <w:p>
      <w:pPr>
        <w:spacing w:after="0" w:line="131" w:lineRule="exact"/>
        <w:rPr>
          <w:rFonts w:ascii="Times New Roman" w:cs="Times New Roman" w:eastAsia="Times New Roman" w:hAnsi="Times New Roman"/>
          <w:sz w:val="17"/>
          <w:szCs w:val="17"/>
          <w:color w:val="auto"/>
        </w:rPr>
      </w:pPr>
    </w:p>
    <w:p>
      <w:pPr>
        <w:ind w:left="1360" w:hanging="414"/>
        <w:spacing w:after="0"/>
        <w:tabs>
          <w:tab w:leader="none" w:pos="136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3.02   Selection of Notes to Be Redeemed or Purchased.</w:t>
      </w:r>
    </w:p>
    <w:p>
      <w:pPr>
        <w:spacing w:after="0" w:line="120" w:lineRule="exact"/>
        <w:rPr>
          <w:sz w:val="20"/>
          <w:szCs w:val="20"/>
          <w:color w:val="auto"/>
        </w:rPr>
      </w:pPr>
    </w:p>
    <w:p>
      <w:pPr>
        <w:ind w:right="40" w:firstLine="426"/>
        <w:spacing w:after="0" w:line="262" w:lineRule="auto"/>
        <w:rPr>
          <w:sz w:val="20"/>
          <w:szCs w:val="20"/>
          <w:color w:val="auto"/>
        </w:rPr>
      </w:pPr>
      <w:r>
        <w:rPr>
          <w:rFonts w:ascii="Times New Roman" w:cs="Times New Roman" w:eastAsia="Times New Roman" w:hAnsi="Times New Roman"/>
          <w:sz w:val="17"/>
          <w:szCs w:val="17"/>
          <w:color w:val="auto"/>
        </w:rPr>
        <w:t xml:space="preserve">If fewer than all of the Notes are to be redeemed or purchased in an offer to purchase at any time, the Trustee, the Paying Agent or the Registrar (as applicable) will select Notes for redemption or purchase (i) in compliance with the requirements of the principal national securities exchange, if any, on which the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by it under this paragraph.</w:t>
      </w:r>
    </w:p>
    <w:p>
      <w:pPr>
        <w:spacing w:after="0" w:line="175" w:lineRule="exact"/>
        <w:rPr>
          <w:sz w:val="20"/>
          <w:szCs w:val="20"/>
          <w:color w:val="auto"/>
        </w:rPr>
      </w:pPr>
    </w:p>
    <w:p>
      <w:pPr>
        <w:jc w:val="both"/>
        <w:ind w:firstLine="426"/>
        <w:spacing w:after="0" w:line="276" w:lineRule="auto"/>
        <w:rPr>
          <w:sz w:val="20"/>
          <w:szCs w:val="20"/>
          <w:color w:val="auto"/>
        </w:rPr>
      </w:pPr>
      <w:r>
        <w:rPr>
          <w:rFonts w:ascii="Times New Roman" w:cs="Times New Roman" w:eastAsia="Times New Roman" w:hAnsi="Times New Roman"/>
          <w:sz w:val="17"/>
          <w:szCs w:val="17"/>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62" w:lineRule="exact"/>
        <w:rPr>
          <w:sz w:val="20"/>
          <w:szCs w:val="20"/>
          <w:color w:val="auto"/>
        </w:rPr>
      </w:pPr>
    </w:p>
    <w:p>
      <w:pPr>
        <w:ind w:right="140" w:firstLine="426"/>
        <w:spacing w:after="0" w:line="266" w:lineRule="auto"/>
        <w:rPr>
          <w:sz w:val="20"/>
          <w:szCs w:val="20"/>
          <w:color w:val="auto"/>
        </w:rPr>
      </w:pPr>
      <w:r>
        <w:rPr>
          <w:rFonts w:ascii="Times New Roman" w:cs="Times New Roman" w:eastAsia="Times New Roman" w:hAnsi="Times New Roman"/>
          <w:sz w:val="17"/>
          <w:szCs w:val="17"/>
          <w:color w:val="auto"/>
        </w:rPr>
        <w:t>The Registrar will promptly notify the Company in writing of any Definitive Notes selected for redemption or purchase and, in the case of any such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shall be redeemed or purchased. Except as provided in the preceding sentence, provisions of this Indenture that apply to Notes called for redemption or purchase also apply to portions of Notes called for redemption or purchase.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40"/>
          </w:cols>
          <w:pgMar w:left="620" w:top="264" w:right="639" w:bottom="1440" w:gutter="0" w:footer="0" w:header="0"/>
        </w:sectPr>
      </w:pPr>
    </w:p>
    <w:bookmarkStart w:id="325" w:name="page326"/>
    <w:bookmarkEnd w:id="325"/>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3.03   Notice of Redemption.</w:t>
      </w:r>
    </w:p>
    <w:p>
      <w:pPr>
        <w:spacing w:after="0" w:line="120"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7"/>
          <w:szCs w:val="17"/>
          <w:color w:val="auto"/>
        </w:rPr>
        <w:t>Subject to the provisions set forth in the second paragraph of Section 3.07(d),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Articles 8 or 12 hereof or less than 30 days prior to a redemption date as provided under Section 3.10 hereof.</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notice will identify the Notes to be redeemed and will state: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the redemption date;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redemption price;</w:t>
      </w:r>
    </w:p>
    <w:p>
      <w:pPr>
        <w:spacing w:after="0" w:line="118" w:lineRule="exact"/>
        <w:rPr>
          <w:sz w:val="20"/>
          <w:szCs w:val="20"/>
          <w:color w:val="auto"/>
        </w:rPr>
      </w:pPr>
    </w:p>
    <w:p>
      <w:pPr>
        <w:jc w:val="both"/>
        <w:ind w:left="420" w:right="180" w:firstLine="409"/>
        <w:spacing w:after="0" w:line="276" w:lineRule="auto"/>
        <w:rPr>
          <w:sz w:val="20"/>
          <w:szCs w:val="20"/>
          <w:color w:val="auto"/>
        </w:rPr>
      </w:pPr>
      <w:r>
        <w:rPr>
          <w:rFonts w:ascii="Times New Roman" w:cs="Times New Roman" w:eastAsia="Times New Roman" w:hAnsi="Times New Roman"/>
          <w:sz w:val="17"/>
          <w:szCs w:val="17"/>
          <w:color w:val="auto"/>
        </w:rPr>
        <w:t xml:space="preserve">(3)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unredeemed portion has a minimum denomination of US$200,000;</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the name and address of the Paying Agent;</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(5)   that Notes called for redemption must be surrendered to the Paying Agent to collect the redemption price;</w:t>
      </w:r>
    </w:p>
    <w:p>
      <w:pPr>
        <w:spacing w:after="0" w:line="118" w:lineRule="exact"/>
        <w:rPr>
          <w:sz w:val="20"/>
          <w:szCs w:val="20"/>
          <w:color w:val="auto"/>
        </w:rPr>
      </w:pPr>
    </w:p>
    <w:p>
      <w:pPr>
        <w:ind w:left="420" w:firstLine="409"/>
        <w:spacing w:after="0" w:line="295" w:lineRule="auto"/>
        <w:rPr>
          <w:sz w:val="20"/>
          <w:szCs w:val="20"/>
          <w:color w:val="auto"/>
        </w:rPr>
      </w:pPr>
      <w:r>
        <w:rPr>
          <w:rFonts w:ascii="Times New Roman" w:cs="Times New Roman" w:eastAsia="Times New Roman" w:hAnsi="Times New Roman"/>
          <w:sz w:val="17"/>
          <w:szCs w:val="17"/>
          <w:color w:val="auto"/>
        </w:rPr>
        <w:t>(6)  that, unless the Company defaults in making such redemption payment, interest on Notes called for redemption ceases to accrue on and after the redemption date;</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(7)   the paragraph of the Notes and/or Section of this Indenture pursuant to which the Notes called for redemption are being redeemed;</w:t>
      </w:r>
    </w:p>
    <w:p>
      <w:pPr>
        <w:spacing w:after="0" w:line="118" w:lineRule="exact"/>
        <w:rPr>
          <w:sz w:val="20"/>
          <w:szCs w:val="20"/>
          <w:color w:val="auto"/>
        </w:rPr>
      </w:pPr>
    </w:p>
    <w:p>
      <w:pPr>
        <w:ind w:left="420" w:right="340" w:firstLine="409"/>
        <w:spacing w:after="0" w:line="295" w:lineRule="auto"/>
        <w:rPr>
          <w:sz w:val="20"/>
          <w:szCs w:val="20"/>
          <w:color w:val="auto"/>
        </w:rPr>
      </w:pPr>
      <w:r>
        <w:rPr>
          <w:rFonts w:ascii="Times New Roman" w:cs="Times New Roman" w:eastAsia="Times New Roman" w:hAnsi="Times New Roman"/>
          <w:sz w:val="17"/>
          <w:szCs w:val="17"/>
          <w:color w:val="auto"/>
        </w:rPr>
        <w:t>(8)  that no representation is made as to the correctness or accuracy of the CUSIP number, if any, listed in such notice or printed on the Notes; and</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(9)   whether the redemption is conditioned on any events and, if so, a reasonably detailed explanation of such conditions.</w:t>
      </w:r>
    </w:p>
    <w:p>
      <w:pPr>
        <w:spacing w:after="0" w:line="221" w:lineRule="exact"/>
        <w:rPr>
          <w:sz w:val="20"/>
          <w:szCs w:val="20"/>
          <w:color w:val="auto"/>
        </w:rPr>
      </w:pPr>
    </w:p>
    <w:p>
      <w:pPr>
        <w:ind w:right="340" w:firstLine="426"/>
        <w:spacing w:after="0" w:line="270" w:lineRule="auto"/>
        <w:rPr>
          <w:sz w:val="20"/>
          <w:szCs w:val="20"/>
          <w:color w:val="auto"/>
        </w:rPr>
      </w:pPr>
      <w:r>
        <w:rPr>
          <w:rFonts w:ascii="Times New Roman" w:cs="Times New Roman" w:eastAsia="Times New Roman" w:hAnsi="Times New Roman"/>
          <w:sz w:val="17"/>
          <w:szCs w:val="17"/>
          <w:color w:val="auto"/>
        </w:rPr>
        <w:t xml:space="preserve">At the Company’s written request, the Paying Agent will give the notice of redemption in the Company’s name and at its expense;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has delivered to the Paying Agent, at least three Business Days prior to the date that the notice of redemption is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delivered to Holders, an Officer’s Certificate requesting that the Paying Agent give such notice and setting forth the information to be stated in such notice as provided in the preceding paragraph.</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3.04   Effect of Notice of Redemption.</w:t>
      </w:r>
    </w:p>
    <w:p>
      <w:pPr>
        <w:spacing w:after="0" w:line="120" w:lineRule="exact"/>
        <w:rPr>
          <w:sz w:val="20"/>
          <w:szCs w:val="20"/>
          <w:color w:val="auto"/>
        </w:rPr>
      </w:pPr>
    </w:p>
    <w:p>
      <w:pPr>
        <w:ind w:right="240" w:firstLine="426"/>
        <w:spacing w:after="0" w:line="269" w:lineRule="auto"/>
        <w:rPr>
          <w:sz w:val="20"/>
          <w:szCs w:val="20"/>
          <w:color w:val="auto"/>
        </w:rPr>
      </w:pPr>
      <w:r>
        <w:rPr>
          <w:rFonts w:ascii="Times New Roman" w:cs="Times New Roman" w:eastAsia="Times New Roman" w:hAnsi="Times New Roman"/>
          <w:sz w:val="17"/>
          <w:szCs w:val="17"/>
          <w:color w:val="auto"/>
        </w:rPr>
        <w:t xml:space="preserve">Once notice of redemption is mailed in accordance with Section 3.03 hereof, Notes called for redemption become due and payable on the redemption date at the redemption price stated in the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notice of redemption given in respect of the redemption referred to in Section 5 of the Notes may, at the Company’s discretion, be subject to the satisfaction of one or more conditions precedent, to the extent permitted by Section 3.07 of this Indenture and Section 5 of the Notes.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3.05   Deposit of Redemption or Purchase Price.</w:t>
      </w:r>
    </w:p>
    <w:p>
      <w:pPr>
        <w:spacing w:after="0" w:line="120" w:lineRule="exact"/>
        <w:rPr>
          <w:sz w:val="20"/>
          <w:szCs w:val="20"/>
          <w:color w:val="auto"/>
        </w:rPr>
      </w:pPr>
    </w:p>
    <w:p>
      <w:pPr>
        <w:ind w:right="80" w:firstLine="426"/>
        <w:spacing w:after="0" w:line="266" w:lineRule="auto"/>
        <w:rPr>
          <w:sz w:val="20"/>
          <w:szCs w:val="20"/>
          <w:color w:val="auto"/>
        </w:rPr>
      </w:pPr>
      <w:r>
        <w:rPr>
          <w:rFonts w:ascii="Times New Roman" w:cs="Times New Roman" w:eastAsia="Times New Roman" w:hAnsi="Times New Roman"/>
          <w:sz w:val="17"/>
          <w:szCs w:val="17"/>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40"/>
          </w:cols>
          <w:pgMar w:left="620" w:top="262" w:right="639" w:bottom="1440" w:gutter="0" w:footer="0" w:header="0"/>
        </w:sectPr>
      </w:pPr>
    </w:p>
    <w:bookmarkStart w:id="326" w:name="page327"/>
    <w:bookmarkEnd w:id="326"/>
    <w:p>
      <w:pPr>
        <w:ind w:firstLine="426"/>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3.06   Notes Redeemed or Purchased in Part.</w:t>
      </w:r>
    </w:p>
    <w:p>
      <w:pPr>
        <w:spacing w:after="0" w:line="120" w:lineRule="exact"/>
        <w:rPr>
          <w:sz w:val="20"/>
          <w:szCs w:val="20"/>
          <w:color w:val="auto"/>
        </w:rPr>
      </w:pPr>
    </w:p>
    <w:p>
      <w:pPr>
        <w:ind w:right="260" w:firstLine="426"/>
        <w:spacing w:after="0" w:line="276" w:lineRule="auto"/>
        <w:rPr>
          <w:sz w:val="20"/>
          <w:szCs w:val="20"/>
          <w:color w:val="auto"/>
        </w:rPr>
      </w:pPr>
      <w:r>
        <w:rPr>
          <w:rFonts w:ascii="Times New Roman" w:cs="Times New Roman" w:eastAsia="Times New Roman" w:hAnsi="Times New Roman"/>
          <w:sz w:val="17"/>
          <w:szCs w:val="17"/>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3.07   Optional Redemption.</w:t>
      </w:r>
    </w:p>
    <w:p>
      <w:pPr>
        <w:spacing w:after="0" w:line="120" w:lineRule="exact"/>
        <w:rPr>
          <w:sz w:val="20"/>
          <w:szCs w:val="20"/>
          <w:color w:val="auto"/>
        </w:rPr>
      </w:pPr>
    </w:p>
    <w:p>
      <w:pPr>
        <w:ind w:right="20" w:firstLine="426"/>
        <w:spacing w:after="0" w:line="276" w:lineRule="auto"/>
        <w:rPr>
          <w:sz w:val="20"/>
          <w:szCs w:val="20"/>
          <w:color w:val="auto"/>
        </w:rPr>
      </w:pPr>
      <w:r>
        <w:rPr>
          <w:rFonts w:ascii="Times New Roman" w:cs="Times New Roman" w:eastAsia="Times New Roman" w:hAnsi="Times New Roman"/>
          <w:sz w:val="17"/>
          <w:szCs w:val="17"/>
          <w:color w:val="auto"/>
        </w:rPr>
        <w:t xml:space="preserve">(a)  At any time prior to September 24, 2028, the Company may on any one or more occasions redeem up to 35% of the aggregate principal amount of Notes issued under this Indenture at a redemption price of 106.500% of the principal amount thereof,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interest, if any, and Additional Amounts, if any, to but excluding the redemption date, with the net cash proceeds of one or more Equity Offerings;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57" w:lineRule="exact"/>
        <w:rPr>
          <w:sz w:val="20"/>
          <w:szCs w:val="20"/>
          <w:color w:val="auto"/>
        </w:rPr>
      </w:pPr>
    </w:p>
    <w:p>
      <w:pPr>
        <w:ind w:left="420" w:right="100" w:firstLine="409"/>
        <w:spacing w:after="0" w:line="295" w:lineRule="auto"/>
        <w:rPr>
          <w:sz w:val="20"/>
          <w:szCs w:val="20"/>
          <w:color w:val="auto"/>
        </w:rPr>
      </w:pPr>
      <w:r>
        <w:rPr>
          <w:rFonts w:ascii="Times New Roman" w:cs="Times New Roman" w:eastAsia="Times New Roman" w:hAnsi="Times New Roman"/>
          <w:sz w:val="17"/>
          <w:szCs w:val="17"/>
          <w:color w:val="auto"/>
        </w:rPr>
        <w:t>(1)  at least 65% of the aggregate principal amount of Notes originally issued under this Indenture (excluding Notes held by the Company and its Subsidiaries) remains outstanding immediately after the occurrence of such redemption; and</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redemption occurs within 45 days of the date of the closing of such Equity Offering.</w:t>
      </w:r>
    </w:p>
    <w:p>
      <w:pPr>
        <w:spacing w:after="0" w:line="223" w:lineRule="exact"/>
        <w:rPr>
          <w:sz w:val="20"/>
          <w:szCs w:val="20"/>
          <w:color w:val="auto"/>
        </w:rPr>
      </w:pPr>
    </w:p>
    <w:p>
      <w:pPr>
        <w:ind w:right="160" w:firstLine="426"/>
        <w:spacing w:after="0" w:line="276" w:lineRule="auto"/>
        <w:rPr>
          <w:sz w:val="20"/>
          <w:szCs w:val="20"/>
          <w:color w:val="auto"/>
        </w:rPr>
      </w:pPr>
      <w:r>
        <w:rPr>
          <w:rFonts w:ascii="Times New Roman" w:cs="Times New Roman" w:eastAsia="Times New Roman" w:hAnsi="Times New Roman"/>
          <w:sz w:val="17"/>
          <w:szCs w:val="17"/>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related Equity Offering.</w:t>
      </w:r>
    </w:p>
    <w:p>
      <w:pPr>
        <w:spacing w:after="0" w:line="162" w:lineRule="exact"/>
        <w:rPr>
          <w:sz w:val="20"/>
          <w:szCs w:val="20"/>
          <w:color w:val="auto"/>
        </w:rPr>
      </w:pPr>
    </w:p>
    <w:p>
      <w:pPr>
        <w:ind w:right="180" w:firstLine="426"/>
        <w:spacing w:after="0" w:line="266" w:lineRule="auto"/>
        <w:rPr>
          <w:sz w:val="20"/>
          <w:szCs w:val="20"/>
          <w:color w:val="auto"/>
        </w:rPr>
      </w:pPr>
      <w:r>
        <w:rPr>
          <w:rFonts w:ascii="Times New Roman" w:cs="Times New Roman" w:eastAsia="Times New Roman" w:hAnsi="Times New Roman"/>
          <w:sz w:val="17"/>
          <w:szCs w:val="17"/>
          <w:color w:val="auto"/>
        </w:rPr>
        <w:t xml:space="preserve">(b)  At any time prior to September 24, 2028, the Company may also redeem all or a part of the Notes, upon not less than 30 nor more than 60 days’ prior notice mailed by first-class mail to each Holder’s registered address, at a redemption price equal to 100% of the principal amount of Notes redeemed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Applicable Premium as of, and accrued and unpaid interest, if any, and Additional Amounts, if any, to but excluding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171" w:lineRule="exact"/>
        <w:rPr>
          <w:sz w:val="20"/>
          <w:szCs w:val="20"/>
          <w:color w:val="auto"/>
        </w:rPr>
      </w:pPr>
    </w:p>
    <w:p>
      <w:pPr>
        <w:ind w:firstLine="426"/>
        <w:spacing w:after="0" w:line="295" w:lineRule="auto"/>
        <w:rPr>
          <w:sz w:val="20"/>
          <w:szCs w:val="20"/>
          <w:color w:val="auto"/>
        </w:rPr>
      </w:pPr>
      <w:r>
        <w:rPr>
          <w:rFonts w:ascii="Times New Roman" w:cs="Times New Roman" w:eastAsia="Times New Roman" w:hAnsi="Times New Roman"/>
          <w:sz w:val="17"/>
          <w:szCs w:val="17"/>
          <w:color w:val="auto"/>
        </w:rPr>
        <w:t>(c)  Except pursuant to the two preceding paragraphs and Sections 3.09 and 3.10, the Notes will not be redeemable at the Company’s option prior to September 24, 2028.</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20"/>
          </w:cols>
          <w:pgMar w:left="620" w:top="265" w:right="659" w:bottom="1440" w:gutter="0" w:footer="0" w:header="0"/>
        </w:sectPr>
      </w:pPr>
    </w:p>
    <w:bookmarkStart w:id="327" w:name="page328"/>
    <w:bookmarkEnd w:id="327"/>
    <w:p>
      <w:pPr>
        <w:jc w:val="both"/>
        <w:ind w:right="60" w:firstLine="426"/>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  On or after September 24, 2028, the Company may redeem all or a part of the Notes upon not less than 30 nor more than 60 days’ notice, at the redemption prices (expressed as percentages of principal amount) set forth below plus accrued and unpaid interest, if any, and Additional Amounts, if any, on the Notes redeemed, to but excluding the applicable redemption date, if redeemed during the twelve-month period beginning on September 24 of the years indicated below, subject to the rights of Holders on the relevant record date to receive interest on the relevant interest payment date:</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Year</w:t>
            </w:r>
          </w:p>
        </w:tc>
        <w:tc>
          <w:tcPr>
            <w:tcW w:w="65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Percentage</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20" w:type="dxa"/>
            <w:vAlign w:val="bottom"/>
            <w:gridSpan w:val="2"/>
            <w:vMerge w:val="continue"/>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103.250%</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101.625%</w:t>
            </w:r>
          </w:p>
        </w:tc>
        <w:tc>
          <w:tcPr>
            <w:tcW w:w="178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9"/>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 and thereafter</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100.000%</w:t>
            </w: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Any such redemption may, at the discretion of the Company,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173" w:lineRule="exact"/>
        <w:rPr>
          <w:sz w:val="20"/>
          <w:szCs w:val="20"/>
          <w:color w:val="auto"/>
        </w:rPr>
      </w:pPr>
    </w:p>
    <w:p>
      <w:pPr>
        <w:ind w:right="360" w:firstLine="426"/>
        <w:spacing w:after="0" w:line="295" w:lineRule="auto"/>
        <w:rPr>
          <w:sz w:val="20"/>
          <w:szCs w:val="20"/>
          <w:color w:val="auto"/>
        </w:rPr>
      </w:pPr>
      <w:r>
        <w:rPr>
          <w:rFonts w:ascii="Times New Roman" w:cs="Times New Roman" w:eastAsia="Times New Roman" w:hAnsi="Times New Roman"/>
          <w:sz w:val="17"/>
          <w:szCs w:val="17"/>
          <w:color w:val="auto"/>
        </w:rPr>
        <w:t>Unless the Company defaults in the payment of the redemption price or fails to satisfy the conditions precedent to the redemption and thereby terminates the redemption, interest will cease to accrue on the Notes or portions thereof called for redemption on the applicable redemption date.</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   Any redemption pursuant to this Section 3.07 shall be made pursuant to the provisions of Sections 3.01 through 3.06 hereof.</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3.08   Mandatory Redemption.</w:t>
      </w:r>
    </w:p>
    <w:p>
      <w:pPr>
        <w:spacing w:after="0" w:line="120" w:lineRule="exact"/>
        <w:rPr>
          <w:sz w:val="20"/>
          <w:szCs w:val="20"/>
          <w:color w:val="auto"/>
        </w:rPr>
      </w:pPr>
    </w:p>
    <w:p>
      <w:pPr>
        <w:ind w:right="200" w:firstLine="426"/>
        <w:spacing w:after="0" w:line="276" w:lineRule="auto"/>
        <w:rPr>
          <w:sz w:val="20"/>
          <w:szCs w:val="20"/>
          <w:color w:val="auto"/>
        </w:rPr>
      </w:pPr>
      <w:r>
        <w:rPr>
          <w:rFonts w:ascii="Times New Roman" w:cs="Times New Roman" w:eastAsia="Times New Roman" w:hAnsi="Times New Roman"/>
          <w:sz w:val="17"/>
          <w:szCs w:val="17"/>
          <w:color w:val="auto"/>
        </w:rPr>
        <w:t>The Company is not required to make mandatory redemption or sinking fund payments with respect to the Notes. However, under certain circumstances, the Company may be required to offer to purchase Notes as described in Sections 4.08 and 4.10 hereof. The Company may at any time and from time to time purchase Notes in the open market or otherwise.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3.09   Redemption for Taxation Reasons.</w:t>
      </w:r>
    </w:p>
    <w:p>
      <w:pPr>
        <w:spacing w:after="0" w:line="120" w:lineRule="exact"/>
        <w:rPr>
          <w:sz w:val="20"/>
          <w:szCs w:val="20"/>
          <w:color w:val="auto"/>
        </w:rPr>
      </w:pPr>
    </w:p>
    <w:p>
      <w:pPr>
        <w:ind w:right="160" w:firstLine="426"/>
        <w:spacing w:after="0" w:line="276" w:lineRule="auto"/>
        <w:rPr>
          <w:sz w:val="20"/>
          <w:szCs w:val="20"/>
          <w:color w:val="auto"/>
        </w:rPr>
      </w:pPr>
      <w:r>
        <w:rPr>
          <w:rFonts w:ascii="Times New Roman" w:cs="Times New Roman" w:eastAsia="Times New Roman" w:hAnsi="Times New Roman"/>
          <w:sz w:val="17"/>
          <w:szCs w:val="17"/>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if any, to but excluding the date fixed by the Company for redemption (the “</w:t>
      </w:r>
      <w:r>
        <w:rPr>
          <w:rFonts w:ascii="Times New Roman" w:cs="Times New Roman" w:eastAsia="Times New Roman" w:hAnsi="Times New Roman"/>
          <w:sz w:val="17"/>
          <w:szCs w:val="17"/>
          <w:i w:val="1"/>
          <w:iCs w:val="1"/>
          <w:color w:val="auto"/>
        </w:rPr>
        <w:t>Tax Redemption Date</w:t>
      </w:r>
      <w:r>
        <w:rPr>
          <w:rFonts w:ascii="Times New Roman" w:cs="Times New Roman" w:eastAsia="Times New Roman" w:hAnsi="Times New Roman"/>
          <w:sz w:val="17"/>
          <w:szCs w:val="17"/>
          <w:color w:val="auto"/>
        </w:rPr>
        <w:t>”) if, as a result of:</w:t>
      </w:r>
    </w:p>
    <w:p>
      <w:pPr>
        <w:spacing w:after="0" w:line="57" w:lineRule="exact"/>
        <w:rPr>
          <w:sz w:val="20"/>
          <w:szCs w:val="20"/>
          <w:color w:val="auto"/>
        </w:rPr>
      </w:pPr>
    </w:p>
    <w:p>
      <w:pPr>
        <w:ind w:left="420" w:right="140" w:firstLine="409"/>
        <w:spacing w:after="0" w:line="295" w:lineRule="auto"/>
        <w:rPr>
          <w:sz w:val="20"/>
          <w:szCs w:val="20"/>
          <w:color w:val="auto"/>
        </w:rPr>
      </w:pPr>
      <w:r>
        <w:rPr>
          <w:rFonts w:ascii="Times New Roman" w:cs="Times New Roman" w:eastAsia="Times New Roman" w:hAnsi="Times New Roman"/>
          <w:sz w:val="17"/>
          <w:szCs w:val="17"/>
          <w:color w:val="auto"/>
        </w:rPr>
        <w:t>(1)  any change in, or amendment to, the laws (or any regulations or rulings promulgated thereunder) or treaties of a Relevant Jurisdiction affecting taxation; or</w:t>
      </w:r>
    </w:p>
    <w:p>
      <w:pPr>
        <w:spacing w:after="0" w:line="42" w:lineRule="exact"/>
        <w:rPr>
          <w:sz w:val="20"/>
          <w:szCs w:val="20"/>
          <w:color w:val="auto"/>
        </w:rPr>
      </w:pPr>
    </w:p>
    <w:p>
      <w:pPr>
        <w:ind w:left="420" w:right="320" w:firstLine="409"/>
        <w:spacing w:after="0" w:line="295" w:lineRule="auto"/>
        <w:rPr>
          <w:sz w:val="20"/>
          <w:szCs w:val="20"/>
          <w:color w:val="auto"/>
        </w:rPr>
      </w:pPr>
      <w:r>
        <w:rPr>
          <w:rFonts w:ascii="Times New Roman" w:cs="Times New Roman" w:eastAsia="Times New Roman" w:hAnsi="Times New Roman"/>
          <w:sz w:val="17"/>
          <w:szCs w:val="17"/>
          <w:color w:val="auto"/>
        </w:rPr>
        <w:t>(2)  any change in, or amendment to, an official position regarding the application or interpretation of such laws, treaties, regulations or rulings (including a holding, judgment or order by a court of competent jurisdiction),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60"/>
          </w:cols>
          <w:pgMar w:left="620" w:top="264" w:right="619" w:bottom="1440" w:gutter="0" w:footer="0" w:header="0"/>
        </w:sectPr>
      </w:pPr>
    </w:p>
    <w:bookmarkStart w:id="328" w:name="page329"/>
    <w:bookmarkEnd w:id="328"/>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which change or amendment becomes effective on or after the date of this Indenture with respect to any payment due or to become due under the Notes or this Indenture, the Company is, or on the next interest payment date would be, required to pay Additional Amounts, and such requirement cannot be avoided by the Company, taking reasonable measures available to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changing the jurisdiction of the Company is not a reasonable measure for the purposes of this Section 3.09;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no such notice of redemption will be given earlier than 90 days prior to the earliest date on which the Company would be obligated to pay such Additional Amounts if a payment in respect of the Notes were then due.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Prior to the mailing of any notice of redemption of the Notes pursuant to the foregoing, the Company will deliver to the Trustee:</w:t>
      </w:r>
    </w:p>
    <w:p>
      <w:pPr>
        <w:spacing w:after="0" w:line="118" w:lineRule="exact"/>
        <w:rPr>
          <w:sz w:val="20"/>
          <w:szCs w:val="20"/>
          <w:color w:val="auto"/>
        </w:rPr>
      </w:pPr>
    </w:p>
    <w:p>
      <w:pPr>
        <w:ind w:left="420" w:right="40" w:firstLine="409"/>
        <w:spacing w:after="0" w:line="295" w:lineRule="auto"/>
        <w:rPr>
          <w:sz w:val="20"/>
          <w:szCs w:val="20"/>
          <w:color w:val="auto"/>
        </w:rPr>
      </w:pPr>
      <w:r>
        <w:rPr>
          <w:rFonts w:ascii="Times New Roman" w:cs="Times New Roman" w:eastAsia="Times New Roman" w:hAnsi="Times New Roman"/>
          <w:sz w:val="17"/>
          <w:szCs w:val="17"/>
          <w:color w:val="auto"/>
        </w:rPr>
        <w:t>(1)  an Officer’s Certificate stating that such change or amendment referred to in the prior paragraph has occurred, and describing the facts related thereto and stating that such requirement cannot be avoided by the Company, taking reasonable measures available to it; and</w:t>
      </w:r>
    </w:p>
    <w:p>
      <w:pPr>
        <w:spacing w:after="0" w:line="42" w:lineRule="exact"/>
        <w:rPr>
          <w:sz w:val="20"/>
          <w:szCs w:val="20"/>
          <w:color w:val="auto"/>
        </w:rPr>
      </w:pPr>
    </w:p>
    <w:p>
      <w:pPr>
        <w:ind w:left="420" w:right="180" w:firstLine="409"/>
        <w:spacing w:after="0" w:line="295" w:lineRule="auto"/>
        <w:rPr>
          <w:sz w:val="20"/>
          <w:szCs w:val="20"/>
          <w:color w:val="auto"/>
        </w:rPr>
      </w:pPr>
      <w:r>
        <w:rPr>
          <w:rFonts w:ascii="Times New Roman" w:cs="Times New Roman" w:eastAsia="Times New Roman" w:hAnsi="Times New Roman"/>
          <w:sz w:val="17"/>
          <w:szCs w:val="17"/>
          <w:color w:val="auto"/>
        </w:rPr>
        <w:t>(2)  an Opinion of Counsel or an opinion of a tax consultant of recognized international standing stating that the requirement to pay such Additional Amounts results from such change or amendment referred to in the prior paragraph.</w:t>
      </w:r>
    </w:p>
    <w:p>
      <w:pPr>
        <w:spacing w:after="0" w:line="42" w:lineRule="exact"/>
        <w:rPr>
          <w:sz w:val="20"/>
          <w:szCs w:val="20"/>
          <w:color w:val="auto"/>
        </w:rPr>
      </w:pPr>
    </w:p>
    <w:p>
      <w:pPr>
        <w:ind w:right="20" w:firstLine="426"/>
        <w:spacing w:after="0" w:line="295" w:lineRule="auto"/>
        <w:rPr>
          <w:sz w:val="20"/>
          <w:szCs w:val="20"/>
          <w:color w:val="auto"/>
        </w:rPr>
      </w:pPr>
      <w:r>
        <w:rPr>
          <w:rFonts w:ascii="Times New Roman" w:cs="Times New Roman" w:eastAsia="Times New Roman" w:hAnsi="Times New Roman"/>
          <w:sz w:val="17"/>
          <w:szCs w:val="17"/>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Any Notes that are redeemed pursuant to this Section 3.09 will be cancelled.</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3.10   Gaming Redemption.</w:t>
      </w:r>
    </w:p>
    <w:p>
      <w:pPr>
        <w:spacing w:after="0" w:line="120" w:lineRule="exact"/>
        <w:rPr>
          <w:sz w:val="20"/>
          <w:szCs w:val="20"/>
          <w:color w:val="auto"/>
        </w:rPr>
      </w:pPr>
    </w:p>
    <w:p>
      <w:pPr>
        <w:ind w:right="80" w:firstLine="426"/>
        <w:spacing w:after="0" w:line="266" w:lineRule="auto"/>
        <w:rPr>
          <w:sz w:val="20"/>
          <w:szCs w:val="20"/>
          <w:color w:val="auto"/>
        </w:rPr>
      </w:pPr>
      <w:r>
        <w:rPr>
          <w:rFonts w:ascii="Times New Roman" w:cs="Times New Roman" w:eastAsia="Times New Roman" w:hAnsi="Times New Roman"/>
          <w:sz w:val="17"/>
          <w:szCs w:val="17"/>
          <w:color w:val="auto"/>
        </w:rPr>
        <w:t>Each Holder, by accepting a Note, shall be deemed to have agreed that if the Gaming Authority of any jurisdiction in which the Company, any of its Subsidiaries or the Sponsor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67" w:lineRule="exact"/>
        <w:rPr>
          <w:sz w:val="20"/>
          <w:szCs w:val="20"/>
          <w:color w:val="auto"/>
        </w:rPr>
      </w:pPr>
    </w:p>
    <w:p>
      <w:pPr>
        <w:ind w:left="420" w:right="540" w:firstLine="409"/>
        <w:spacing w:after="0" w:line="295" w:lineRule="auto"/>
        <w:rPr>
          <w:sz w:val="20"/>
          <w:szCs w:val="20"/>
          <w:color w:val="auto"/>
        </w:rPr>
      </w:pPr>
      <w:r>
        <w:rPr>
          <w:rFonts w:ascii="Times New Roman" w:cs="Times New Roman" w:eastAsia="Times New Roman" w:hAnsi="Times New Roman"/>
          <w:sz w:val="17"/>
          <w:szCs w:val="17"/>
          <w:color w:val="auto"/>
        </w:rPr>
        <w:t>(1)  to require such Person to dispose of its Notes or beneficial interest therein within 30 days of receipt of notice of the Company’s election or such earlier date as may be requested or prescribed by such Gaming Authority; or</w:t>
      </w:r>
    </w:p>
    <w:p>
      <w:pPr>
        <w:spacing w:after="0" w:line="42" w:lineRule="exact"/>
        <w:rPr>
          <w:sz w:val="20"/>
          <w:szCs w:val="20"/>
          <w:color w:val="auto"/>
        </w:rPr>
      </w:pPr>
    </w:p>
    <w:p>
      <w:pPr>
        <w:ind w:left="420" w:right="60" w:firstLine="409"/>
        <w:spacing w:after="0" w:line="295" w:lineRule="auto"/>
        <w:rPr>
          <w:sz w:val="20"/>
          <w:szCs w:val="20"/>
          <w:color w:val="auto"/>
        </w:rPr>
      </w:pPr>
      <w:r>
        <w:rPr>
          <w:rFonts w:ascii="Times New Roman" w:cs="Times New Roman" w:eastAsia="Times New Roman" w:hAnsi="Times New Roman"/>
          <w:sz w:val="17"/>
          <w:szCs w:val="17"/>
          <w:color w:val="auto"/>
        </w:rPr>
        <w:t>(2)  to redeem such Notes, which redemption may be less than 30 days following the notice of redemption if so requested or prescribed by the applicable gaming authority, at a redemption price equal to:</w:t>
      </w:r>
    </w:p>
    <w:p>
      <w:pPr>
        <w:spacing w:after="0" w:line="55" w:lineRule="exact"/>
        <w:rPr>
          <w:sz w:val="20"/>
          <w:szCs w:val="20"/>
          <w:color w:val="auto"/>
        </w:rPr>
      </w:pPr>
    </w:p>
    <w:p>
      <w:pPr>
        <w:ind w:left="1900" w:hanging="523"/>
        <w:spacing w:after="0"/>
        <w:tabs>
          <w:tab w:leader="none" w:pos="190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lesser of:</w:t>
      </w:r>
    </w:p>
    <w:p>
      <w:pPr>
        <w:spacing w:after="0" w:line="131" w:lineRule="exact"/>
        <w:rPr>
          <w:rFonts w:ascii="Times New Roman" w:cs="Times New Roman" w:eastAsia="Times New Roman" w:hAnsi="Times New Roman"/>
          <w:sz w:val="17"/>
          <w:szCs w:val="17"/>
          <w:color w:val="auto"/>
        </w:rPr>
      </w:pPr>
    </w:p>
    <w:p>
      <w:pPr>
        <w:ind w:left="2320" w:right="60" w:hanging="420"/>
        <w:spacing w:after="0" w:line="295" w:lineRule="auto"/>
        <w:tabs>
          <w:tab w:leader="none" w:pos="2320"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person’s cost, plus accrued and unpaid interest, if any, and Additional Amounts, if any, to but excluding the earlier of the redemption date or the date of the finding of unsuitability or failure to comply; and</w:t>
      </w:r>
    </w:p>
    <w:p>
      <w:pPr>
        <w:spacing w:after="0" w:line="55" w:lineRule="exact"/>
        <w:rPr>
          <w:rFonts w:ascii="Times New Roman" w:cs="Times New Roman" w:eastAsia="Times New Roman" w:hAnsi="Times New Roman"/>
          <w:sz w:val="17"/>
          <w:szCs w:val="17"/>
          <w:color w:val="auto"/>
        </w:rPr>
      </w:pPr>
    </w:p>
    <w:p>
      <w:pPr>
        <w:ind w:left="2320" w:right="80" w:hanging="420"/>
        <w:spacing w:after="0" w:line="295" w:lineRule="auto"/>
        <w:tabs>
          <w:tab w:leader="none" w:pos="2320"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thereof, plus accrued and unpaid interest, if any, and Additional Amounts, if any, to but excluding the earlier of the redemption date or the date of the finding of unsuitability or failure to comply; or</w:t>
      </w:r>
    </w:p>
    <w:p>
      <w:pPr>
        <w:spacing w:after="0" w:line="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(B)   such other amount as may be required by applicable law or order of the applicable Gaming Authority.</w:t>
      </w:r>
    </w:p>
    <w:p>
      <w:pPr>
        <w:spacing w:after="0" w:line="223" w:lineRule="exact"/>
        <w:rPr>
          <w:sz w:val="20"/>
          <w:szCs w:val="20"/>
          <w:color w:val="auto"/>
        </w:rPr>
      </w:pPr>
    </w:p>
    <w:p>
      <w:pPr>
        <w:jc w:val="both"/>
        <w:ind w:right="320" w:firstLine="426"/>
        <w:spacing w:after="0" w:line="276" w:lineRule="auto"/>
        <w:rPr>
          <w:sz w:val="20"/>
          <w:szCs w:val="20"/>
          <w:color w:val="auto"/>
        </w:rPr>
      </w:pPr>
      <w:r>
        <w:rPr>
          <w:rFonts w:ascii="Times New Roman" w:cs="Times New Roman" w:eastAsia="Times New Roman" w:hAnsi="Times New Roman"/>
          <w:sz w:val="17"/>
          <w:szCs w:val="17"/>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600"/>
          </w:cols>
          <w:pgMar w:left="620" w:top="265" w:right="679" w:bottom="1440" w:gutter="0" w:footer="0" w:header="0"/>
        </w:sectPr>
      </w:pPr>
    </w:p>
    <w:bookmarkStart w:id="329" w:name="page330"/>
    <w:bookmarkEnd w:id="329"/>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COVENANTS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4.01   Payment of Notes.</w:t>
      </w:r>
    </w:p>
    <w:p>
      <w:pPr>
        <w:spacing w:after="0" w:line="120" w:lineRule="exact"/>
        <w:rPr>
          <w:sz w:val="20"/>
          <w:szCs w:val="20"/>
          <w:color w:val="auto"/>
        </w:rPr>
      </w:pPr>
    </w:p>
    <w:p>
      <w:pPr>
        <w:ind w:right="240" w:firstLine="426"/>
        <w:spacing w:after="0" w:line="266" w:lineRule="auto"/>
        <w:rPr>
          <w:sz w:val="20"/>
          <w:szCs w:val="20"/>
          <w:color w:val="auto"/>
        </w:rPr>
      </w:pPr>
      <w:r>
        <w:rPr>
          <w:rFonts w:ascii="Times New Roman" w:cs="Times New Roman" w:eastAsia="Times New Roman" w:hAnsi="Times New Roman"/>
          <w:sz w:val="17"/>
          <w:szCs w:val="17"/>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one Business Day prior to the due date money deposited by the Company in immediately available funds and designated for and sufficient to pay all principal, premium, if any, and interest then due.</w:t>
      </w:r>
    </w:p>
    <w:p>
      <w:pPr>
        <w:spacing w:after="0" w:line="171" w:lineRule="exact"/>
        <w:rPr>
          <w:sz w:val="20"/>
          <w:szCs w:val="20"/>
          <w:color w:val="auto"/>
        </w:rPr>
      </w:pPr>
    </w:p>
    <w:p>
      <w:pPr>
        <w:ind w:right="60" w:firstLine="426"/>
        <w:spacing w:after="0" w:line="269" w:lineRule="auto"/>
        <w:rPr>
          <w:sz w:val="20"/>
          <w:szCs w:val="20"/>
          <w:color w:val="auto"/>
        </w:rPr>
      </w:pPr>
      <w:r>
        <w:rPr>
          <w:rFonts w:ascii="Times New Roman" w:cs="Times New Roman" w:eastAsia="Times New Roman" w:hAnsi="Times New Roman"/>
          <w:sz w:val="17"/>
          <w:szCs w:val="17"/>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65" w:lineRule="exact"/>
        <w:rPr>
          <w:sz w:val="20"/>
          <w:szCs w:val="20"/>
          <w:color w:val="auto"/>
        </w:rPr>
      </w:pPr>
    </w:p>
    <w:p>
      <w:pPr>
        <w:ind w:right="220" w:firstLine="426"/>
        <w:spacing w:after="0" w:line="295" w:lineRule="auto"/>
        <w:rPr>
          <w:sz w:val="20"/>
          <w:szCs w:val="20"/>
          <w:color w:val="auto"/>
        </w:rPr>
      </w:pPr>
      <w:r>
        <w:rPr>
          <w:rFonts w:ascii="Times New Roman" w:cs="Times New Roman" w:eastAsia="Times New Roman" w:hAnsi="Times New Roman"/>
          <w:sz w:val="17"/>
          <w:szCs w:val="17"/>
          <w:color w:val="auto"/>
        </w:rPr>
        <w:t>Subject to actual receipt of funds as provided in this Section 4.01 by the Paying Agent, such Paying Agent shall make payments on the Notes in accordance with the provisions of this Indenture.</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4.02   Maintenance of Office or Agency.</w:t>
      </w:r>
    </w:p>
    <w:p>
      <w:pPr>
        <w:spacing w:after="0" w:line="120" w:lineRule="exact"/>
        <w:rPr>
          <w:sz w:val="20"/>
          <w:szCs w:val="20"/>
          <w:color w:val="auto"/>
        </w:rPr>
      </w:pPr>
    </w:p>
    <w:p>
      <w:pPr>
        <w:ind w:right="60" w:firstLine="426"/>
        <w:spacing w:after="0" w:line="264" w:lineRule="auto"/>
        <w:rPr>
          <w:sz w:val="20"/>
          <w:szCs w:val="20"/>
          <w:color w:val="auto"/>
        </w:rPr>
      </w:pPr>
      <w:r>
        <w:rPr>
          <w:rFonts w:ascii="Times New Roman" w:cs="Times New Roman" w:eastAsia="Times New Roman" w:hAnsi="Times New Roman"/>
          <w:sz w:val="17"/>
          <w:szCs w:val="17"/>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69" w:lineRule="exact"/>
        <w:rPr>
          <w:sz w:val="20"/>
          <w:szCs w:val="20"/>
          <w:color w:val="auto"/>
        </w:rPr>
      </w:pPr>
    </w:p>
    <w:p>
      <w:pPr>
        <w:ind w:firstLine="426"/>
        <w:spacing w:after="0" w:line="268" w:lineRule="auto"/>
        <w:rPr>
          <w:sz w:val="20"/>
          <w:szCs w:val="20"/>
          <w:color w:val="auto"/>
        </w:rPr>
      </w:pPr>
      <w:r>
        <w:rPr>
          <w:rFonts w:ascii="Times New Roman" w:cs="Times New Roman" w:eastAsia="Times New Roman" w:hAnsi="Times New Roman"/>
          <w:sz w:val="17"/>
          <w:szCs w:val="17"/>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277" w:lineRule="exact"/>
        <w:rPr>
          <w:sz w:val="20"/>
          <w:szCs w:val="20"/>
          <w:color w:val="auto"/>
        </w:rPr>
      </w:pPr>
    </w:p>
    <w:p>
      <w:pPr>
        <w:ind w:right="480" w:firstLine="426"/>
        <w:spacing w:after="0" w:line="295" w:lineRule="auto"/>
        <w:rPr>
          <w:sz w:val="20"/>
          <w:szCs w:val="20"/>
          <w:color w:val="auto"/>
        </w:rPr>
      </w:pPr>
      <w:r>
        <w:rPr>
          <w:rFonts w:ascii="Times New Roman" w:cs="Times New Roman" w:eastAsia="Times New Roman" w:hAnsi="Times New Roman"/>
          <w:sz w:val="17"/>
          <w:szCs w:val="17"/>
          <w:color w:val="auto"/>
        </w:rPr>
        <w:t>The Company hereby designates Deutsche Bank Trust Company Americas as one such office or agency of the Company in accordance with Section 2.03 hereof.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60"/>
          </w:cols>
          <w:pgMar w:left="620" w:top="265" w:right="619" w:bottom="1440" w:gutter="0" w:footer="0" w:header="0"/>
        </w:sectPr>
      </w:pPr>
    </w:p>
    <w:bookmarkStart w:id="330" w:name="page331"/>
    <w:bookmarkEnd w:id="330"/>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Section 4.03   Reports.</w:t>
      </w:r>
    </w:p>
    <w:p>
      <w:pPr>
        <w:spacing w:after="0" w:line="120" w:lineRule="exact"/>
        <w:rPr>
          <w:sz w:val="20"/>
          <w:szCs w:val="20"/>
          <w:color w:val="auto"/>
        </w:rPr>
      </w:pPr>
    </w:p>
    <w:p>
      <w:pPr>
        <w:ind w:right="100" w:firstLine="426"/>
        <w:spacing w:after="0" w:line="295" w:lineRule="auto"/>
        <w:rPr>
          <w:sz w:val="20"/>
          <w:szCs w:val="20"/>
          <w:color w:val="auto"/>
        </w:rPr>
      </w:pPr>
      <w:r>
        <w:rPr>
          <w:rFonts w:ascii="Times New Roman" w:cs="Times New Roman" w:eastAsia="Times New Roman" w:hAnsi="Times New Roman"/>
          <w:sz w:val="17"/>
          <w:szCs w:val="17"/>
          <w:color w:val="auto"/>
        </w:rPr>
        <w:t>(a)  The Company will furnish to the Trustee and the Holders or, at the written request and expense of the Company, cause the Trustee to furnish to the Holders, and make available to potential investors:</w:t>
      </w:r>
    </w:p>
    <w:p>
      <w:pPr>
        <w:spacing w:after="0" w:line="42" w:lineRule="exact"/>
        <w:rPr>
          <w:sz w:val="20"/>
          <w:szCs w:val="20"/>
          <w:color w:val="auto"/>
        </w:rPr>
      </w:pPr>
    </w:p>
    <w:p>
      <w:pPr>
        <w:ind w:left="420" w:right="80" w:firstLine="409"/>
        <w:spacing w:after="0" w:line="262" w:lineRule="auto"/>
        <w:rPr>
          <w:sz w:val="20"/>
          <w:szCs w:val="20"/>
          <w:color w:val="auto"/>
        </w:rPr>
      </w:pPr>
      <w:r>
        <w:rPr>
          <w:rFonts w:ascii="Times New Roman" w:cs="Times New Roman" w:eastAsia="Times New Roman" w:hAnsi="Times New Roman"/>
          <w:sz w:val="17"/>
          <w:szCs w:val="17"/>
          <w:color w:val="auto"/>
        </w:rPr>
        <w:t>(1)  within 120 days after the end of the Company’s fiscal year beginning with the fiscal year ending December 31, 2025, annual reports of the Company containing: (a) information with a level of detail that is substantially comparable to the sections in the Offering Memorandum entitled “Selected Consolidated Financial Information”, “Business”, “Management”, “Related Party Transactions” and “Description of Other Material Indebtedness”; (b) the Company’s audited consolidated (i) balance sheet as of the end of the two most recent fiscal years and</w:t>
      </w:r>
    </w:p>
    <w:p>
      <w:pPr>
        <w:spacing w:after="0" w:line="1" w:lineRule="exact"/>
        <w:rPr>
          <w:sz w:val="20"/>
          <w:szCs w:val="20"/>
          <w:color w:val="auto"/>
        </w:rPr>
      </w:pPr>
    </w:p>
    <w:p>
      <w:pPr>
        <w:ind w:left="420" w:right="60" w:hanging="2"/>
        <w:spacing w:after="0" w:line="259" w:lineRule="auto"/>
        <w:tabs>
          <w:tab w:leader="none" w:pos="676"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statement of operations and statement of cash flow for the two most recent fiscal years, in each case prepared in accordance with GAAP and including complete footnotes to such financial statements and the report of the independent auditors on the financial statements; (c) an operating and financial review of the two most recent fiscal years for the Company and its Subsidiaries, including a discussion of (i) the financial condition and results of operations of the Company on a consolidated basis and any material changes between such two fiscal years and (ii) any material developments in the business of the Company and its Subsidiaries; and (d)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statement of operations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information has been provided in a previous report pursuant to paragraph (2)(c) below;</w:t>
      </w:r>
    </w:p>
    <w:p>
      <w:pPr>
        <w:spacing w:after="0" w:line="72" w:lineRule="exact"/>
        <w:rPr>
          <w:sz w:val="20"/>
          <w:szCs w:val="20"/>
          <w:color w:val="auto"/>
        </w:rPr>
      </w:pPr>
    </w:p>
    <w:p>
      <w:pPr>
        <w:ind w:left="420" w:right="80" w:firstLine="409"/>
        <w:spacing w:after="0" w:line="261" w:lineRule="auto"/>
        <w:rPr>
          <w:sz w:val="20"/>
          <w:szCs w:val="20"/>
          <w:color w:val="auto"/>
        </w:rPr>
      </w:pPr>
      <w:r>
        <w:rPr>
          <w:rFonts w:ascii="Times New Roman" w:cs="Times New Roman" w:eastAsia="Times New Roman" w:hAnsi="Times New Roman"/>
          <w:sz w:val="17"/>
          <w:szCs w:val="17"/>
          <w:color w:val="auto"/>
        </w:rPr>
        <w:t xml:space="preserve">(2)  within 60 days after the end of each of the first three fiscal quarters in each fiscal year of the Company beginning with the quarter ending September 30, 2025, quarterly reports containing: (a) the Company’s unaudited condensed consolidated (i) balance sheet as of the end of such quarter and (ii) statement of operations and cash flow for the quarterly and year to date periods ending on the most recent balance sheet date, and the comparable prior year periods, in each case prepared in accordance with GAAP; (b) an operating and financial review of such periods for the Company and its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Subsidiaries; (c)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statement of operations and balance sheet information of the Company, together with explanatory footnotes, for any Change of Control or material acquisitions, dispositions or recapitalizations that have occurred since the beginning of the most recently completed fiscal quarter;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may provide any such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information relating to a material acquisition within 75 days following such quarterly report in the form of a report provided pursuant to clause (3) below; and</w:t>
      </w:r>
    </w:p>
    <w:p>
      <w:pPr>
        <w:spacing w:after="0" w:line="70" w:lineRule="exact"/>
        <w:rPr>
          <w:sz w:val="20"/>
          <w:szCs w:val="20"/>
          <w:color w:val="auto"/>
        </w:rPr>
      </w:pPr>
    </w:p>
    <w:p>
      <w:pPr>
        <w:ind w:left="820"/>
        <w:spacing w:after="0"/>
        <w:tabs>
          <w:tab w:leader="none" w:pos="1220" w:val="left"/>
        </w:tabs>
        <w:rPr>
          <w:sz w:val="20"/>
          <w:szCs w:val="20"/>
          <w:color w:val="auto"/>
        </w:rPr>
      </w:pPr>
      <w:r>
        <w:rPr>
          <w:rFonts w:ascii="Times New Roman" w:cs="Times New Roman" w:eastAsia="Times New Roman" w:hAnsi="Times New Roman"/>
          <w:sz w:val="17"/>
          <w:szCs w:val="17"/>
          <w:color w:val="auto"/>
        </w:rPr>
        <w:t xml:space="preserve">(3) </w:t>
        <w:tab/>
        <w:t>promptly from time to time after the occurrence of any of the events listed in (a) to (d) of this clause (3) information with respect to</w:t>
      </w:r>
    </w:p>
    <w:p>
      <w:pPr>
        <w:spacing w:after="0" w:line="32" w:lineRule="exact"/>
        <w:rPr>
          <w:sz w:val="20"/>
          <w:szCs w:val="20"/>
          <w:color w:val="auto"/>
        </w:rPr>
      </w:pPr>
    </w:p>
    <w:p>
      <w:pPr>
        <w:ind w:left="660" w:hanging="242"/>
        <w:spacing w:after="0"/>
        <w:tabs>
          <w:tab w:leader="none" w:pos="66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independent accountants of the Company or any of its Significant Subsidiaries, (b) any material acquisition or disposition,</w:t>
      </w:r>
    </w:p>
    <w:p>
      <w:pPr>
        <w:spacing w:after="0" w:line="13" w:lineRule="exact"/>
        <w:rPr>
          <w:rFonts w:ascii="Times New Roman" w:cs="Times New Roman" w:eastAsia="Times New Roman" w:hAnsi="Times New Roman"/>
          <w:sz w:val="17"/>
          <w:szCs w:val="17"/>
          <w:color w:val="auto"/>
        </w:rPr>
      </w:pPr>
    </w:p>
    <w:p>
      <w:pPr>
        <w:ind w:left="420" w:hanging="2"/>
        <w:spacing w:after="0" w:line="265" w:lineRule="auto"/>
        <w:tabs>
          <w:tab w:leader="none" w:pos="65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event that the Company or any of its Subsidiaries announces publicly and (d) any information that the Company is required to make publicly available under the requirements of the SGX-ST or such other exchanges on which the securities of the Company or its Subsidiaries are then listed.</w:t>
      </w:r>
    </w:p>
    <w:p>
      <w:pPr>
        <w:spacing w:after="0" w:line="66" w:lineRule="exact"/>
        <w:rPr>
          <w:sz w:val="20"/>
          <w:szCs w:val="20"/>
          <w:color w:val="auto"/>
        </w:rPr>
      </w:pPr>
    </w:p>
    <w:p>
      <w:pPr>
        <w:jc w:val="both"/>
        <w:ind w:left="420" w:right="580"/>
        <w:spacing w:after="0" w:line="276" w:lineRule="auto"/>
        <w:rPr>
          <w:sz w:val="20"/>
          <w:szCs w:val="20"/>
          <w:color w:val="auto"/>
        </w:rPr>
      </w:pPr>
      <w:r>
        <w:rPr>
          <w:rFonts w:ascii="Times New Roman" w:cs="Times New Roman" w:eastAsia="Times New Roman" w:hAnsi="Times New Roman"/>
          <w:sz w:val="17"/>
          <w:szCs w:val="17"/>
          <w:color w:val="auto"/>
        </w:rPr>
        <w:t xml:space="preserve">The Company may satisfy the requirement to furnish reports or information as described in (1), (2) and (3) above by furnishing, or making available, such required report or information on the website of the SEC or SGX-ST;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have no responsibility whatsoever to determine whether such report or information has been furnished or made available on such website.</w:t>
      </w:r>
    </w:p>
    <w:p>
      <w:pPr>
        <w:spacing w:after="0" w:line="162" w:lineRule="exact"/>
        <w:rPr>
          <w:sz w:val="20"/>
          <w:szCs w:val="20"/>
          <w:color w:val="auto"/>
        </w:rPr>
      </w:pPr>
    </w:p>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t>(b)  In addition, so long as any Notes remain outstanding, the Company shall furnish to the Holders and to securities analysts and prospective investors, upon their request, the information required to be delivered pursuant to Rule 144A(d)(4) under the Securities Act.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660"/>
          </w:cols>
          <w:pgMar w:left="620" w:top="262" w:right="619" w:bottom="1440" w:gutter="0" w:footer="0" w:header="0"/>
        </w:sectPr>
      </w:pPr>
    </w:p>
    <w:bookmarkStart w:id="331" w:name="page332"/>
    <w:bookmarkEnd w:id="331"/>
    <w:p>
      <w:pPr>
        <w:ind w:left="8" w:right="6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  Delivery of such reports, information and documents to the Trustee shall be for informational purposes only and the Trustee’s receipt of such reports, information and documents shall not constitute notice of any information contained therein, including the Company’s compliance with any of the covenants hereunder (as to which the Trustee is entitled to rely exclusively on the Officer’s Certificate).</w:t>
      </w:r>
    </w:p>
    <w:p>
      <w:pPr>
        <w:spacing w:after="0" w:line="16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4.04   Compliance Certificate.</w:t>
      </w:r>
    </w:p>
    <w:p>
      <w:pPr>
        <w:spacing w:after="0" w:line="120" w:lineRule="exact"/>
        <w:rPr>
          <w:sz w:val="20"/>
          <w:szCs w:val="20"/>
          <w:color w:val="auto"/>
        </w:rPr>
      </w:pPr>
    </w:p>
    <w:p>
      <w:pPr>
        <w:ind w:left="8" w:right="20" w:firstLine="426"/>
        <w:spacing w:after="0" w:line="261" w:lineRule="auto"/>
        <w:rPr>
          <w:sz w:val="20"/>
          <w:szCs w:val="20"/>
          <w:color w:val="auto"/>
        </w:rPr>
      </w:pPr>
      <w:r>
        <w:rPr>
          <w:rFonts w:ascii="Times New Roman" w:cs="Times New Roman" w:eastAsia="Times New Roman" w:hAnsi="Times New Roman"/>
          <w:sz w:val="17"/>
          <w:szCs w:val="17"/>
          <w:color w:val="auto"/>
        </w:rPr>
        <w:t>(a)  The Company shall deliver to the Trustee, within 120 days after the end of each fiscal year beginning with the fiscal year ending December 31, 2025 and at any other times upon the written request of the Trustee,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7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(b)   So long as any of the Notes are outstanding, the Company will deliver to the Trustee, as soon as possible and in any event within five</w:t>
      </w:r>
    </w:p>
    <w:p>
      <w:pPr>
        <w:spacing w:after="0" w:line="32" w:lineRule="exact"/>
        <w:rPr>
          <w:sz w:val="20"/>
          <w:szCs w:val="20"/>
          <w:color w:val="auto"/>
        </w:rPr>
      </w:pPr>
    </w:p>
    <w:p>
      <w:pPr>
        <w:ind w:left="8" w:right="280" w:hanging="8"/>
        <w:spacing w:after="0" w:line="262" w:lineRule="auto"/>
        <w:tabs>
          <w:tab w:leader="none" w:pos="25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unless a Responsible Officer of the Trustee receives written notice thereof, stating that it is a notice of default and referencing the applicable section of this Indenture.</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4.05   Taxes.</w:t>
      </w:r>
    </w:p>
    <w:p>
      <w:pPr>
        <w:spacing w:after="0" w:line="120" w:lineRule="exact"/>
        <w:rPr>
          <w:sz w:val="20"/>
          <w:szCs w:val="20"/>
          <w:color w:val="auto"/>
        </w:rPr>
      </w:pPr>
    </w:p>
    <w:p>
      <w:pPr>
        <w:ind w:left="8" w:right="180" w:firstLine="426"/>
        <w:spacing w:after="0" w:line="276" w:lineRule="auto"/>
        <w:rPr>
          <w:sz w:val="20"/>
          <w:szCs w:val="20"/>
          <w:color w:val="auto"/>
        </w:rPr>
      </w:pPr>
      <w:r>
        <w:rPr>
          <w:rFonts w:ascii="Times New Roman" w:cs="Times New Roman" w:eastAsia="Times New Roman" w:hAnsi="Times New Roman"/>
          <w:sz w:val="17"/>
          <w:szCs w:val="17"/>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16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4.06   Stay, Extension and Usury Laws.</w:t>
      </w:r>
    </w:p>
    <w:p>
      <w:pPr>
        <w:spacing w:after="0" w:line="120" w:lineRule="exact"/>
        <w:rPr>
          <w:sz w:val="20"/>
          <w:szCs w:val="20"/>
          <w:color w:val="auto"/>
        </w:rPr>
      </w:pPr>
    </w:p>
    <w:p>
      <w:pPr>
        <w:ind w:left="8" w:firstLine="426"/>
        <w:spacing w:after="0" w:line="266"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4.07   Corporate Existence.</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Subject to Article 5 hereof, the Company shall do or cause to be done all things necessary to preserve and keep in full force and effect:</w:t>
      </w:r>
    </w:p>
    <w:p>
      <w:pPr>
        <w:spacing w:after="0" w:line="118" w:lineRule="exact"/>
        <w:rPr>
          <w:sz w:val="20"/>
          <w:szCs w:val="20"/>
          <w:color w:val="auto"/>
        </w:rPr>
      </w:pPr>
    </w:p>
    <w:p>
      <w:pPr>
        <w:ind w:left="428" w:right="200" w:firstLine="409"/>
        <w:spacing w:after="0" w:line="295" w:lineRule="auto"/>
        <w:rPr>
          <w:sz w:val="20"/>
          <w:szCs w:val="20"/>
          <w:color w:val="auto"/>
        </w:rPr>
      </w:pPr>
      <w:r>
        <w:rPr>
          <w:rFonts w:ascii="Times New Roman" w:cs="Times New Roman" w:eastAsia="Times New Roman" w:hAnsi="Times New Roman"/>
          <w:sz w:val="17"/>
          <w:szCs w:val="17"/>
          <w:color w:val="auto"/>
        </w:rPr>
        <w:t>(1)  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668"/>
          </w:cols>
          <w:pgMar w:left="612" w:top="265" w:right="619" w:bottom="1440" w:gutter="0" w:footer="0" w:header="0"/>
        </w:sectPr>
      </w:pPr>
    </w:p>
    <w:bookmarkStart w:id="332" w:name="page333"/>
    <w:bookmarkEnd w:id="332"/>
    <w:p>
      <w:pPr>
        <w:jc w:val="both"/>
        <w:ind w:left="420" w:right="160" w:firstLine="409"/>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(2)  the rights (charter and statutory), licenses and franchises of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4.08   Offer to Repurchase upon Change of Control.</w:t>
      </w:r>
    </w:p>
    <w:p>
      <w:pPr>
        <w:spacing w:after="0" w:line="120" w:lineRule="exact"/>
        <w:rPr>
          <w:sz w:val="20"/>
          <w:szCs w:val="20"/>
          <w:color w:val="auto"/>
        </w:rPr>
      </w:pPr>
    </w:p>
    <w:p>
      <w:pPr>
        <w:ind w:right="40" w:firstLine="426"/>
        <w:spacing w:after="0" w:line="262" w:lineRule="auto"/>
        <w:rPr>
          <w:sz w:val="20"/>
          <w:szCs w:val="20"/>
          <w:color w:val="auto"/>
        </w:rPr>
      </w:pPr>
      <w:r>
        <w:rPr>
          <w:rFonts w:ascii="Times New Roman" w:cs="Times New Roman" w:eastAsia="Times New Roman" w:hAnsi="Times New Roman"/>
          <w:sz w:val="17"/>
          <w:szCs w:val="17"/>
          <w:color w:val="auto"/>
        </w:rPr>
        <w:t>(a)  Upon the occurrence of a Change of Control Triggering Event, each Holder will have the right to require the Company to repurchase all or any part of such Holder’s Notes pursuant to a Change of Control Offer (as defined below) on the terms set forth below. In the Change of Control Offer, the Company will offer to purchase the Notes at a purchase price in cash equal to 101% of the principal amount thereof, plus accrued and unpaid interest,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or Section 3.09 hereof. Within twenty (20) days following any Change of Control Triggering Event, except to the extent that the Company has exercised its right to redeem the Notes in full by delivery of a notice of redemption pursuant to Section 3.03 hereof, the Company shall mail a notice (a “</w:t>
      </w:r>
      <w:r>
        <w:rPr>
          <w:rFonts w:ascii="Times New Roman" w:cs="Times New Roman" w:eastAsia="Times New Roman" w:hAnsi="Times New Roman"/>
          <w:sz w:val="17"/>
          <w:szCs w:val="17"/>
          <w:i w:val="1"/>
          <w:iCs w:val="1"/>
          <w:color w:val="auto"/>
        </w:rPr>
        <w:t>Change of Control Offer</w:t>
      </w:r>
      <w:r>
        <w:rPr>
          <w:rFonts w:ascii="Times New Roman" w:cs="Times New Roman" w:eastAsia="Times New Roman" w:hAnsi="Times New Roman"/>
          <w:sz w:val="17"/>
          <w:szCs w:val="17"/>
          <w:color w:val="auto"/>
        </w:rPr>
        <w:t>”) to each Holder with a copy to the Trustee stating:</w:t>
      </w:r>
    </w:p>
    <w:p>
      <w:pPr>
        <w:spacing w:after="0" w:line="70" w:lineRule="exact"/>
        <w:rPr>
          <w:sz w:val="20"/>
          <w:szCs w:val="20"/>
          <w:color w:val="auto"/>
        </w:rPr>
      </w:pPr>
    </w:p>
    <w:p>
      <w:pPr>
        <w:ind w:left="420" w:firstLine="409"/>
        <w:spacing w:after="0" w:line="269" w:lineRule="auto"/>
        <w:rPr>
          <w:sz w:val="20"/>
          <w:szCs w:val="20"/>
          <w:color w:val="auto"/>
        </w:rPr>
      </w:pPr>
      <w:r>
        <w:rPr>
          <w:rFonts w:ascii="Times New Roman" w:cs="Times New Roman" w:eastAsia="Times New Roman" w:hAnsi="Times New Roman"/>
          <w:sz w:val="17"/>
          <w:szCs w:val="17"/>
          <w:color w:val="auto"/>
        </w:rPr>
        <w:t>(1)  that a Change of Control Triggering Event has occurred and that such Holder has the right to require the Company to repurchase such Holder’s Notes at a repurchase price in cash equal to 101% of the principal amount thereof, plus accrued and unpaid interest, if any, and Additional Amounts, if any, to but excluding the date of repurchase (subject to the right of holders of record on a record date to receive interest on the relevant interest payment date) (the “</w:t>
      </w:r>
      <w:r>
        <w:rPr>
          <w:rFonts w:ascii="Times New Roman" w:cs="Times New Roman" w:eastAsia="Times New Roman" w:hAnsi="Times New Roman"/>
          <w:sz w:val="17"/>
          <w:szCs w:val="17"/>
          <w:i w:val="1"/>
          <w:iCs w:val="1"/>
          <w:color w:val="auto"/>
        </w:rPr>
        <w:t>Change of Control Payment</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circumstances and relevant facts and financial information regarding such Change of Control;</w:t>
      </w:r>
    </w:p>
    <w:p>
      <w:pPr>
        <w:spacing w:after="0" w:line="116" w:lineRule="exact"/>
        <w:rPr>
          <w:sz w:val="20"/>
          <w:szCs w:val="20"/>
          <w:color w:val="auto"/>
        </w:rPr>
      </w:pPr>
    </w:p>
    <w:p>
      <w:pPr>
        <w:jc w:val="both"/>
        <w:ind w:left="420" w:right="60" w:firstLine="409"/>
        <w:spacing w:after="0" w:line="298" w:lineRule="auto"/>
        <w:rPr>
          <w:sz w:val="20"/>
          <w:szCs w:val="20"/>
          <w:color w:val="auto"/>
        </w:rPr>
      </w:pPr>
      <w:r>
        <w:rPr>
          <w:rFonts w:ascii="Times New Roman" w:cs="Times New Roman" w:eastAsia="Times New Roman" w:hAnsi="Times New Roman"/>
          <w:sz w:val="17"/>
          <w:szCs w:val="17"/>
          <w:color w:val="auto"/>
        </w:rPr>
        <w:t>(3)  the repurchase date (which shall be no earlier than 30 days nor later than 60 days from the date such notice is mailed) (the “</w:t>
      </w:r>
      <w:r>
        <w:rPr>
          <w:rFonts w:ascii="Times New Roman" w:cs="Times New Roman" w:eastAsia="Times New Roman" w:hAnsi="Times New Roman"/>
          <w:sz w:val="17"/>
          <w:szCs w:val="17"/>
          <w:i w:val="1"/>
          <w:iCs w:val="1"/>
          <w:color w:val="auto"/>
        </w:rPr>
        <w:t>Change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Control Payment Date</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that any Note not tendered will continue to accrue interest;</w:t>
      </w:r>
    </w:p>
    <w:p>
      <w:pPr>
        <w:spacing w:after="0" w:line="118" w:lineRule="exact"/>
        <w:rPr>
          <w:sz w:val="20"/>
          <w:szCs w:val="20"/>
          <w:color w:val="auto"/>
        </w:rPr>
      </w:pPr>
    </w:p>
    <w:p>
      <w:pPr>
        <w:ind w:left="420" w:right="180" w:firstLine="409"/>
        <w:spacing w:after="0" w:line="295" w:lineRule="auto"/>
        <w:rPr>
          <w:sz w:val="20"/>
          <w:szCs w:val="20"/>
          <w:color w:val="auto"/>
        </w:rPr>
      </w:pPr>
      <w:r>
        <w:rPr>
          <w:rFonts w:ascii="Times New Roman" w:cs="Times New Roman" w:eastAsia="Times New Roman" w:hAnsi="Times New Roman"/>
          <w:sz w:val="17"/>
          <w:szCs w:val="17"/>
          <w:color w:val="auto"/>
        </w:rPr>
        <w:t>(5)  that, unless the Company defaults in the payment of the Change of Control Payment, all Notes accepted for payment pursuant to the Change of Control Offer will cease to accrue interest after the Change of Control Payment Date;</w:t>
      </w:r>
    </w:p>
    <w:p>
      <w:pPr>
        <w:spacing w:after="0" w:line="42" w:lineRule="exact"/>
        <w:rPr>
          <w:sz w:val="20"/>
          <w:szCs w:val="20"/>
          <w:color w:val="auto"/>
        </w:rPr>
      </w:pPr>
    </w:p>
    <w:p>
      <w:pPr>
        <w:jc w:val="both"/>
        <w:ind w:left="420" w:right="40" w:firstLine="409"/>
        <w:spacing w:after="0" w:line="276" w:lineRule="auto"/>
        <w:rPr>
          <w:sz w:val="20"/>
          <w:szCs w:val="20"/>
          <w:color w:val="auto"/>
        </w:rPr>
      </w:pPr>
      <w:r>
        <w:rPr>
          <w:rFonts w:ascii="Times New Roman" w:cs="Times New Roman" w:eastAsia="Times New Roman" w:hAnsi="Times New Roman"/>
          <w:sz w:val="17"/>
          <w:szCs w:val="17"/>
          <w:color w:val="auto"/>
        </w:rPr>
        <w:t>(6)  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57" w:lineRule="exact"/>
        <w:rPr>
          <w:sz w:val="20"/>
          <w:szCs w:val="20"/>
          <w:color w:val="auto"/>
        </w:rPr>
      </w:pPr>
    </w:p>
    <w:p>
      <w:pPr>
        <w:ind w:left="420" w:right="140" w:firstLine="409"/>
        <w:spacing w:after="0" w:line="269" w:lineRule="auto"/>
        <w:rPr>
          <w:sz w:val="20"/>
          <w:szCs w:val="20"/>
          <w:color w:val="auto"/>
        </w:rPr>
      </w:pPr>
      <w:r>
        <w:rPr>
          <w:rFonts w:ascii="Times New Roman" w:cs="Times New Roman" w:eastAsia="Times New Roman" w:hAnsi="Times New Roman"/>
          <w:sz w:val="17"/>
          <w:szCs w:val="17"/>
          <w:color w:val="auto"/>
        </w:rPr>
        <w:t>(7)  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65" w:lineRule="exact"/>
        <w:rPr>
          <w:sz w:val="20"/>
          <w:szCs w:val="20"/>
          <w:color w:val="auto"/>
        </w:rPr>
      </w:pPr>
    </w:p>
    <w:p>
      <w:pPr>
        <w:ind w:left="420" w:right="340" w:firstLine="409"/>
        <w:spacing w:after="0" w:line="295" w:lineRule="auto"/>
        <w:rPr>
          <w:sz w:val="20"/>
          <w:szCs w:val="20"/>
          <w:color w:val="auto"/>
        </w:rPr>
      </w:pPr>
      <w:r>
        <w:rPr>
          <w:rFonts w:ascii="Times New Roman" w:cs="Times New Roman" w:eastAsia="Times New Roman" w:hAnsi="Times New Roman"/>
          <w:sz w:val="17"/>
          <w:szCs w:val="17"/>
          <w:color w:val="auto"/>
        </w:rPr>
        <w:t xml:space="preserve">(8)  that Holders whose Notes are being purchased only in part will be issued new Notes equal in principal amount to the unpurchased portion of the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unpurchased portion has a minimum denomination of US$200,000.</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    On the Change of Control Payment Date, the Company will, to the extent lawful:</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accept for payment all Notes or portions of Notes properly tendered pursuant to the Change of Control Offer;</w:t>
      </w:r>
    </w:p>
    <w:p>
      <w:pPr>
        <w:spacing w:after="0" w:line="1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600"/>
          </w:cols>
          <w:pgMar w:left="620" w:top="263" w:right="679" w:bottom="1440" w:gutter="0" w:footer="0" w:header="0"/>
        </w:sectPr>
      </w:pPr>
    </w:p>
    <w:bookmarkStart w:id="333" w:name="page334"/>
    <w:bookmarkEnd w:id="333"/>
    <w:p>
      <w:pPr>
        <w:ind w:left="428" w:right="60"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  deposit with the Paying Agent an amount equal to the Change of Control Payment in respect of all Notes or portions of Notes properly tendered; and</w:t>
      </w:r>
    </w:p>
    <w:p>
      <w:pPr>
        <w:spacing w:after="0" w:line="42" w:lineRule="exact"/>
        <w:rPr>
          <w:sz w:val="20"/>
          <w:szCs w:val="20"/>
          <w:color w:val="auto"/>
        </w:rPr>
      </w:pPr>
    </w:p>
    <w:p>
      <w:pPr>
        <w:ind w:left="428" w:right="160" w:firstLine="409"/>
        <w:spacing w:after="0" w:line="295" w:lineRule="auto"/>
        <w:rPr>
          <w:sz w:val="20"/>
          <w:szCs w:val="20"/>
          <w:color w:val="auto"/>
        </w:rPr>
      </w:pPr>
      <w:r>
        <w:rPr>
          <w:rFonts w:ascii="Times New Roman" w:cs="Times New Roman" w:eastAsia="Times New Roman" w:hAnsi="Times New Roman"/>
          <w:sz w:val="17"/>
          <w:szCs w:val="17"/>
          <w:color w:val="auto"/>
        </w:rPr>
        <w:t>(3)  deliver or cause to be delivered to the Trustee the Notes properly accepted together with an Officer’s Certificate stating the aggregate principal amount of Notes or portions of Notes being purchased by the Company.</w:t>
      </w:r>
    </w:p>
    <w:p>
      <w:pPr>
        <w:spacing w:after="0" w:line="147" w:lineRule="exact"/>
        <w:rPr>
          <w:sz w:val="20"/>
          <w:szCs w:val="20"/>
          <w:color w:val="auto"/>
        </w:rPr>
      </w:pPr>
    </w:p>
    <w:p>
      <w:pPr>
        <w:ind w:left="8" w:right="1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169" w:lineRule="exact"/>
        <w:rPr>
          <w:sz w:val="20"/>
          <w:szCs w:val="20"/>
          <w:color w:val="auto"/>
        </w:rPr>
      </w:pPr>
    </w:p>
    <w:p>
      <w:pPr>
        <w:ind w:left="8" w:right="40" w:firstLine="426"/>
        <w:spacing w:after="0" w:line="264" w:lineRule="auto"/>
        <w:rPr>
          <w:sz w:val="20"/>
          <w:szCs w:val="20"/>
          <w:color w:val="auto"/>
        </w:rPr>
      </w:pPr>
      <w:r>
        <w:rPr>
          <w:rFonts w:ascii="Times New Roman" w:cs="Times New Roman" w:eastAsia="Times New Roman" w:hAnsi="Times New Roman"/>
          <w:sz w:val="17"/>
          <w:szCs w:val="17"/>
          <w:color w:val="auto"/>
        </w:rPr>
        <w:t>(c)  Notwithstanding anything to the contrary in this Section 4.08, the Company will not be required to make a Change of Control Offer upon a Change of Control Triggering Event if (1) a third party makes the Change of Control Offer in the manner, at the times and otherwise in compliance with the requirements set forth in this Section 4.08 and purchases all Notes properly tendered and not withdrawn under the Change of Control Offer, or</w:t>
      </w:r>
    </w:p>
    <w:p>
      <w:pPr>
        <w:ind w:left="8" w:right="340" w:hanging="8"/>
        <w:spacing w:after="0" w:line="273" w:lineRule="auto"/>
        <w:tabs>
          <w:tab w:leader="none" w:pos="25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redemption has been given in accordance with the terms of Section 3.03 hereof or Section 3.09 hereof, pursuant to which the Company exercised its right to redeem the Notes in full, unless and until there is a default in payment of the applicable redemption price.</w:t>
      </w:r>
    </w:p>
    <w:p>
      <w:pPr>
        <w:spacing w:after="0" w:line="164" w:lineRule="exact"/>
        <w:rPr>
          <w:sz w:val="20"/>
          <w:szCs w:val="20"/>
          <w:color w:val="auto"/>
        </w:rPr>
      </w:pPr>
    </w:p>
    <w:p>
      <w:pPr>
        <w:jc w:val="both"/>
        <w:ind w:left="8" w:right="20" w:firstLine="426"/>
        <w:spacing w:after="0" w:line="295" w:lineRule="auto"/>
        <w:rPr>
          <w:sz w:val="20"/>
          <w:szCs w:val="20"/>
          <w:color w:val="auto"/>
        </w:rPr>
      </w:pPr>
      <w:r>
        <w:rPr>
          <w:rFonts w:ascii="Times New Roman" w:cs="Times New Roman" w:eastAsia="Times New Roman" w:hAnsi="Times New Roman"/>
          <w:sz w:val="17"/>
          <w:szCs w:val="17"/>
          <w:color w:val="auto"/>
        </w:rPr>
        <w:t>(d)  A Change of Control Offer may be made in advance of a Change of Control Triggering Event, and conditioned upon such Change of Control Triggering Event, if a definitive agreement is in place for the Change of Control at the time of making of the Change of Control Offer.</w:t>
      </w:r>
    </w:p>
    <w:p>
      <w:pPr>
        <w:spacing w:after="0" w:line="147" w:lineRule="exact"/>
        <w:rPr>
          <w:sz w:val="20"/>
          <w:szCs w:val="20"/>
          <w:color w:val="auto"/>
        </w:rPr>
      </w:pPr>
    </w:p>
    <w:p>
      <w:pPr>
        <w:jc w:val="both"/>
        <w:ind w:left="8" w:right="40" w:firstLine="426"/>
        <w:spacing w:after="0" w:line="276" w:lineRule="auto"/>
        <w:rPr>
          <w:sz w:val="20"/>
          <w:szCs w:val="20"/>
          <w:color w:val="auto"/>
        </w:rPr>
      </w:pPr>
      <w:r>
        <w:rPr>
          <w:rFonts w:ascii="Times New Roman" w:cs="Times New Roman" w:eastAsia="Times New Roman" w:hAnsi="Times New Roman"/>
          <w:sz w:val="17"/>
          <w:szCs w:val="17"/>
          <w:color w:val="auto"/>
        </w:rPr>
        <w:t>(e)  Notes repurchased by the Company pursuant to a Change of Control Offer will have the status of Notes issued but not outstanding or will be retired and cancelled at the option of the Company. Subject to Section 2.09 hereof, Notes purchased by a third party pursuant to the preceding paragraph will have the status of Notes issued and outstanding.</w:t>
      </w:r>
    </w:p>
    <w:p>
      <w:pPr>
        <w:spacing w:after="0" w:line="162" w:lineRule="exact"/>
        <w:rPr>
          <w:sz w:val="20"/>
          <w:szCs w:val="20"/>
          <w:color w:val="auto"/>
        </w:rPr>
      </w:pPr>
    </w:p>
    <w:p>
      <w:pPr>
        <w:ind w:left="8" w:firstLine="426"/>
        <w:spacing w:after="0" w:line="269" w:lineRule="auto"/>
        <w:rPr>
          <w:sz w:val="20"/>
          <w:szCs w:val="20"/>
          <w:color w:val="auto"/>
        </w:rPr>
      </w:pPr>
      <w:r>
        <w:rPr>
          <w:rFonts w:ascii="Times New Roman" w:cs="Times New Roman" w:eastAsia="Times New Roman" w:hAnsi="Times New Roman"/>
          <w:sz w:val="17"/>
          <w:szCs w:val="17"/>
          <w:color w:val="auto"/>
        </w:rPr>
        <w:t>(f)  The Company will comply, to the extent applicable, with the requirements of Section 14(e) of the Exchange Act and any other securities laws or regulations in connection with the repurchase of the Notes pursuant to this Section 4.08. To the extent that the provisions of any securities laws or regulations conflict with the provisions of this Section 4.08, the Company will comply with the applicable securities laws and regulations and will not be deemed to have breached its obligations under this Section 4.08 by virtue of such compliance.</w:t>
      </w:r>
    </w:p>
    <w:p>
      <w:pPr>
        <w:spacing w:after="0" w:line="16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4.09   Listing.</w:t>
      </w:r>
    </w:p>
    <w:p>
      <w:pPr>
        <w:spacing w:after="0" w:line="120" w:lineRule="exact"/>
        <w:rPr>
          <w:sz w:val="20"/>
          <w:szCs w:val="20"/>
          <w:color w:val="auto"/>
        </w:rPr>
      </w:pPr>
    </w:p>
    <w:p>
      <w:pPr>
        <w:ind w:left="8" w:right="320" w:firstLine="426"/>
        <w:spacing w:after="0" w:line="295" w:lineRule="auto"/>
        <w:rPr>
          <w:sz w:val="20"/>
          <w:szCs w:val="20"/>
          <w:color w:val="auto"/>
        </w:rPr>
      </w:pPr>
      <w:r>
        <w:rPr>
          <w:rFonts w:ascii="Times New Roman" w:cs="Times New Roman" w:eastAsia="Times New Roman" w:hAnsi="Times New Roman"/>
          <w:sz w:val="17"/>
          <w:szCs w:val="17"/>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14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4.10   Special Put Option.</w:t>
      </w:r>
    </w:p>
    <w:p>
      <w:pPr>
        <w:spacing w:after="0" w:line="120" w:lineRule="exact"/>
        <w:rPr>
          <w:sz w:val="20"/>
          <w:szCs w:val="20"/>
          <w:color w:val="auto"/>
        </w:rPr>
      </w:pPr>
    </w:p>
    <w:p>
      <w:pPr>
        <w:ind w:left="8" w:firstLine="426"/>
        <w:spacing w:after="0" w:line="262" w:lineRule="auto"/>
        <w:rPr>
          <w:sz w:val="20"/>
          <w:szCs w:val="20"/>
          <w:color w:val="auto"/>
        </w:rPr>
      </w:pPr>
      <w:r>
        <w:rPr>
          <w:rFonts w:ascii="Times New Roman" w:cs="Times New Roman" w:eastAsia="Times New Roman" w:hAnsi="Times New Roman"/>
          <w:sz w:val="17"/>
          <w:szCs w:val="17"/>
          <w:color w:val="auto"/>
        </w:rPr>
        <w:t>(a)  Upon a Special Put Option Triggering Event, each Holder will have the right to require the Company to repurchase all or any part of such Holder’s Notes pursuant to a Special Put Option Offer (as defined below) as set forth below.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on the relevant record date to receive interest due on the relevant interest payment date), except to the extent the Company has exercised its right to redeem the Notes in full by delivery of a notice of redemption pursuant to Section 3.03 hereof. Within ten (10) days following the occurrence of a Special Put Option Triggering Event, except to the extent that the Company has exercised its right to redeem the Notes in full by delivery of a notice of redemption pursuant to Section 3.03 hereof or Section 3.09 hereof, the Company shall mail a notice (a “</w:t>
      </w:r>
      <w:r>
        <w:rPr>
          <w:rFonts w:ascii="Times New Roman" w:cs="Times New Roman" w:eastAsia="Times New Roman" w:hAnsi="Times New Roman"/>
          <w:sz w:val="17"/>
          <w:szCs w:val="17"/>
          <w:i w:val="1"/>
          <w:iCs w:val="1"/>
          <w:color w:val="auto"/>
        </w:rPr>
        <w:t>Special Put Option Offer</w:t>
      </w:r>
      <w:r>
        <w:rPr>
          <w:rFonts w:ascii="Times New Roman" w:cs="Times New Roman" w:eastAsia="Times New Roman" w:hAnsi="Times New Roman"/>
          <w:sz w:val="17"/>
          <w:szCs w:val="17"/>
          <w:color w:val="auto"/>
        </w:rPr>
        <w:t>”) to each Holder with a copy to the Trustee and the Paying Agent stating:</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648"/>
          </w:cols>
          <w:pgMar w:left="612" w:top="265" w:right="639" w:bottom="1440" w:gutter="0" w:footer="0" w:header="0"/>
        </w:sectPr>
      </w:pPr>
    </w:p>
    <w:bookmarkStart w:id="334" w:name="page335"/>
    <w:bookmarkEnd w:id="334"/>
    <w:p>
      <w:pPr>
        <w:ind w:left="420" w:right="20" w:firstLine="408"/>
        <w:spacing w:after="0" w:line="269" w:lineRule="auto"/>
        <w:tabs>
          <w:tab w:leader="none" w:pos="1076"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64" w:lineRule="exact"/>
        <w:rPr>
          <w:rFonts w:ascii="Times New Roman" w:cs="Times New Roman" w:eastAsia="Times New Roman" w:hAnsi="Times New Roman"/>
          <w:sz w:val="17"/>
          <w:szCs w:val="17"/>
          <w:color w:val="auto"/>
        </w:rPr>
      </w:pPr>
    </w:p>
    <w:p>
      <w:pPr>
        <w:ind w:left="1080" w:hanging="252"/>
        <w:spacing w:after="0"/>
        <w:tabs>
          <w:tab w:leader="none" w:pos="1080"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 date (which shall be no earlier than 30 days nor later than 60 days from the date such notice is mailed); and</w:t>
      </w:r>
    </w:p>
    <w:p>
      <w:pPr>
        <w:spacing w:after="0" w:line="118" w:lineRule="exact"/>
        <w:rPr>
          <w:rFonts w:ascii="Times New Roman" w:cs="Times New Roman" w:eastAsia="Times New Roman" w:hAnsi="Times New Roman"/>
          <w:sz w:val="17"/>
          <w:szCs w:val="17"/>
          <w:color w:val="auto"/>
        </w:rPr>
      </w:pPr>
    </w:p>
    <w:p>
      <w:pPr>
        <w:ind w:left="420" w:right="720" w:firstLine="408"/>
        <w:spacing w:after="0" w:line="295" w:lineRule="auto"/>
        <w:tabs>
          <w:tab w:leader="none" w:pos="1076"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instructions determined by the Company, consistent with this covenant, that a Holder must follow in order to have its Notes repurchased.</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   On the date of repurchase pursuant to a Special Put Option Offer, the Company will, to the extent lawful:</w:t>
      </w:r>
    </w:p>
    <w:p>
      <w:pPr>
        <w:spacing w:after="0" w:line="118" w:lineRule="exact"/>
        <w:rPr>
          <w:sz w:val="20"/>
          <w:szCs w:val="20"/>
          <w:color w:val="auto"/>
        </w:rPr>
      </w:pPr>
    </w:p>
    <w:p>
      <w:pPr>
        <w:ind w:left="1080" w:hanging="252"/>
        <w:spacing w:after="0"/>
        <w:tabs>
          <w:tab w:leader="none" w:pos="108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for payment all Notes or portions of Notes properly tendered pursuant to the Special Put Option Offer;</w:t>
      </w:r>
    </w:p>
    <w:p>
      <w:pPr>
        <w:spacing w:after="0" w:line="118" w:lineRule="exact"/>
        <w:rPr>
          <w:rFonts w:ascii="Times New Roman" w:cs="Times New Roman" w:eastAsia="Times New Roman" w:hAnsi="Times New Roman"/>
          <w:sz w:val="17"/>
          <w:szCs w:val="17"/>
          <w:color w:val="auto"/>
        </w:rPr>
      </w:pPr>
    </w:p>
    <w:p>
      <w:pPr>
        <w:ind w:left="420" w:firstLine="408"/>
        <w:spacing w:after="0" w:line="288" w:lineRule="auto"/>
        <w:tabs>
          <w:tab w:leader="none" w:pos="1076"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Paying Agent an amount equal to the repurchase price, plus accrued and unpaid interest, if any, and Additional Amounts, if any, to but excluding the date of repurchase (the “</w:t>
      </w:r>
      <w:r>
        <w:rPr>
          <w:rFonts w:ascii="Times New Roman" w:cs="Times New Roman" w:eastAsia="Times New Roman" w:hAnsi="Times New Roman"/>
          <w:sz w:val="17"/>
          <w:szCs w:val="17"/>
          <w:i w:val="1"/>
          <w:iCs w:val="1"/>
          <w:color w:val="auto"/>
        </w:rPr>
        <w:t>Special Put Option Payment</w:t>
      </w:r>
      <w:r>
        <w:rPr>
          <w:rFonts w:ascii="Times New Roman" w:cs="Times New Roman" w:eastAsia="Times New Roman" w:hAnsi="Times New Roman"/>
          <w:sz w:val="17"/>
          <w:szCs w:val="17"/>
          <w:color w:val="auto"/>
        </w:rPr>
        <w:t>”), in respect of all Notes or portions of Notes properly tendered; and</w:t>
      </w:r>
    </w:p>
    <w:p>
      <w:pPr>
        <w:spacing w:after="0" w:line="262" w:lineRule="exact"/>
        <w:rPr>
          <w:rFonts w:ascii="Times New Roman" w:cs="Times New Roman" w:eastAsia="Times New Roman" w:hAnsi="Times New Roman"/>
          <w:sz w:val="17"/>
          <w:szCs w:val="17"/>
          <w:color w:val="auto"/>
        </w:rPr>
      </w:pPr>
    </w:p>
    <w:p>
      <w:pPr>
        <w:ind w:left="420" w:right="260" w:firstLine="408"/>
        <w:spacing w:after="0" w:line="295" w:lineRule="auto"/>
        <w:tabs>
          <w:tab w:leader="none" w:pos="1076"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Trustee, the Notes properly accepted together with an Officer’s Certificate stating the aggregate principal amount of Notes or portions of Notes being purchased by the Company.</w:t>
      </w:r>
    </w:p>
    <w:p>
      <w:pPr>
        <w:spacing w:after="0" w:line="147" w:lineRule="exact"/>
        <w:rPr>
          <w:sz w:val="20"/>
          <w:szCs w:val="20"/>
          <w:color w:val="auto"/>
        </w:rPr>
      </w:pPr>
    </w:p>
    <w:p>
      <w:pPr>
        <w:jc w:val="both"/>
        <w:ind w:right="120" w:firstLine="426"/>
        <w:spacing w:after="0" w:line="276" w:lineRule="auto"/>
        <w:rPr>
          <w:sz w:val="20"/>
          <w:szCs w:val="20"/>
          <w:color w:val="auto"/>
        </w:rPr>
      </w:pPr>
      <w:r>
        <w:rPr>
          <w:rFonts w:ascii="Times New Roman" w:cs="Times New Roman" w:eastAsia="Times New Roman" w:hAnsi="Times New Roman"/>
          <w:sz w:val="17"/>
          <w:szCs w:val="17"/>
          <w:color w:val="auto"/>
        </w:rPr>
        <w:t>The Paying Agent will promptly mail to each Holder of Notes properly tendered the Special Put Option Payment for such Notes, and the Trustee will promptly authenticate and mail (or cause to be transferred by book entry) to each Holder a new Note equal in principal amount to any unpurchased portion of the Notes surrendered, if any.</w:t>
      </w:r>
    </w:p>
    <w:p>
      <w:pPr>
        <w:spacing w:after="0" w:line="162" w:lineRule="exact"/>
        <w:rPr>
          <w:sz w:val="20"/>
          <w:szCs w:val="20"/>
          <w:color w:val="auto"/>
        </w:rPr>
      </w:pPr>
    </w:p>
    <w:p>
      <w:pPr>
        <w:ind w:right="20" w:firstLine="426"/>
        <w:spacing w:after="0" w:line="264" w:lineRule="auto"/>
        <w:rPr>
          <w:sz w:val="20"/>
          <w:szCs w:val="20"/>
          <w:color w:val="auto"/>
        </w:rPr>
      </w:pPr>
      <w:r>
        <w:rPr>
          <w:rFonts w:ascii="Times New Roman" w:cs="Times New Roman" w:eastAsia="Times New Roman" w:hAnsi="Times New Roman"/>
          <w:sz w:val="17"/>
          <w:szCs w:val="17"/>
          <w:color w:val="auto"/>
        </w:rPr>
        <w:t>(c)  Notwithstanding anything to the contrary in this Section 4.10, the Company will not be required to make a Special Put Option Offer upon a Special Put Option Triggering Event if (1) a third party makes the Special Put Option Offer in the manner, at the times and otherwise in compliance with the requirements set forth in this Indenture applicable to a Special Put Option Offer made by the Company and purchases all Notes properly tendered and not withdrawn under the Special Put Option Offer, or (2) notice of redemption has been given in accordance with the terms of this Indenture, as described above under Section 3.07 hereof or Section 3.09 hereof pursuant to which the Company has exercised its right to redeem the Notes in full, unless and until there is a default in payment of the applicable redemption price.</w:t>
      </w:r>
    </w:p>
    <w:p>
      <w:pPr>
        <w:spacing w:after="0" w:line="173" w:lineRule="exact"/>
        <w:rPr>
          <w:sz w:val="20"/>
          <w:szCs w:val="20"/>
          <w:color w:val="auto"/>
        </w:rPr>
      </w:pPr>
    </w:p>
    <w:p>
      <w:pPr>
        <w:jc w:val="both"/>
        <w:ind w:right="60" w:firstLine="426"/>
        <w:spacing w:after="0" w:line="276" w:lineRule="auto"/>
        <w:rPr>
          <w:sz w:val="20"/>
          <w:szCs w:val="20"/>
          <w:color w:val="auto"/>
        </w:rPr>
      </w:pPr>
      <w:r>
        <w:rPr>
          <w:rFonts w:ascii="Times New Roman" w:cs="Times New Roman" w:eastAsia="Times New Roman" w:hAnsi="Times New Roman"/>
          <w:sz w:val="17"/>
          <w:szCs w:val="17"/>
          <w:color w:val="auto"/>
        </w:rPr>
        <w:t>(d)  Notes repurchased by the Company pursuant to a Special Put Option Offer will have the status of Notes issued but not outstanding or will be retired and cancelled at the option of the Company. Subject to Section 2.09 hereof, Notes purchased by a third party pursuant to the preceding paragraph will have the status of Notes issued and outstanding.</w:t>
      </w:r>
    </w:p>
    <w:p>
      <w:pPr>
        <w:spacing w:after="0" w:line="162" w:lineRule="exact"/>
        <w:rPr>
          <w:sz w:val="20"/>
          <w:szCs w:val="20"/>
          <w:color w:val="auto"/>
        </w:rPr>
      </w:pPr>
    </w:p>
    <w:p>
      <w:pPr>
        <w:ind w:right="20" w:firstLine="426"/>
        <w:spacing w:after="0" w:line="269" w:lineRule="auto"/>
        <w:rPr>
          <w:sz w:val="20"/>
          <w:szCs w:val="20"/>
          <w:color w:val="auto"/>
        </w:rPr>
      </w:pPr>
      <w:r>
        <w:rPr>
          <w:rFonts w:ascii="Times New Roman" w:cs="Times New Roman" w:eastAsia="Times New Roman" w:hAnsi="Times New Roman"/>
          <w:sz w:val="17"/>
          <w:szCs w:val="17"/>
          <w:color w:val="auto"/>
        </w:rPr>
        <w:t>(e)  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169" w:lineRule="exact"/>
        <w:rPr>
          <w:sz w:val="20"/>
          <w:szCs w:val="20"/>
          <w:color w:val="auto"/>
        </w:rPr>
      </w:pPr>
    </w:p>
    <w:p>
      <w:pPr>
        <w:ind w:right="380" w:firstLine="426"/>
        <w:spacing w:after="0" w:line="295" w:lineRule="auto"/>
        <w:rPr>
          <w:sz w:val="20"/>
          <w:szCs w:val="20"/>
          <w:color w:val="auto"/>
        </w:rPr>
      </w:pPr>
      <w:r>
        <w:rPr>
          <w:rFonts w:ascii="Times New Roman" w:cs="Times New Roman" w:eastAsia="Times New Roman" w:hAnsi="Times New Roman"/>
          <w:sz w:val="17"/>
          <w:szCs w:val="17"/>
          <w:color w:val="auto"/>
        </w:rPr>
        <w:t>(f)  The provisions described above that require the Company to make a Special Put Option Offer following a Special Put Option Triggering Event will be applicable whether or not any other provisions of this Indenture are applicable.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660"/>
          </w:cols>
          <w:pgMar w:left="620" w:top="264" w:right="619" w:bottom="1440" w:gutter="0" w:footer="0" w:header="0"/>
        </w:sectPr>
      </w:pPr>
    </w:p>
    <w:bookmarkStart w:id="335" w:name="page336"/>
    <w:bookmarkEnd w:id="335"/>
    <w:p>
      <w:pPr>
        <w:jc w:val="center"/>
        <w:ind w:right="-7"/>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5</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SUCCESSORS</w:t>
      </w:r>
    </w:p>
    <w:p>
      <w:pPr>
        <w:spacing w:after="0" w:line="2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5.01   Merger, Consolidation, or Sale of Assets.</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(a)   The Company will not, directly or indirectly: (1) consolidate or merge with or into another Person (whether or not the Company survives); or</w:t>
      </w:r>
    </w:p>
    <w:p>
      <w:pPr>
        <w:spacing w:after="0" w:line="32" w:lineRule="exact"/>
        <w:rPr>
          <w:sz w:val="20"/>
          <w:szCs w:val="20"/>
          <w:color w:val="auto"/>
        </w:rPr>
      </w:pPr>
    </w:p>
    <w:p>
      <w:pPr>
        <w:ind w:left="8" w:right="100" w:hanging="8"/>
        <w:spacing w:after="0" w:line="273" w:lineRule="auto"/>
        <w:tabs>
          <w:tab w:leader="none" w:pos="255"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convey or otherwise dispose of all or substantially all of the properties or assets of the Company and its Subsidiaries taken as a whole, in one or more related transactions, to another Person unless:</w:t>
      </w:r>
    </w:p>
    <w:p>
      <w:pPr>
        <w:spacing w:after="0" w:line="60"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7"/>
          <w:szCs w:val="17"/>
          <w:color w:val="auto"/>
        </w:rPr>
        <w:t>(1)   either:</w:t>
      </w:r>
    </w:p>
    <w:p>
      <w:pPr>
        <w:spacing w:after="0" w:line="118" w:lineRule="exact"/>
        <w:rPr>
          <w:sz w:val="20"/>
          <w:szCs w:val="20"/>
          <w:color w:val="auto"/>
        </w:rPr>
      </w:pPr>
    </w:p>
    <w:p>
      <w:pPr>
        <w:ind w:left="968" w:right="80" w:firstLine="388"/>
        <w:spacing w:after="0" w:line="295" w:lineRule="auto"/>
        <w:rPr>
          <w:sz w:val="20"/>
          <w:szCs w:val="20"/>
          <w:color w:val="auto"/>
        </w:rPr>
      </w:pPr>
      <w:r>
        <w:rPr>
          <w:rFonts w:ascii="Times New Roman" w:cs="Times New Roman" w:eastAsia="Times New Roman" w:hAnsi="Times New Roman"/>
          <w:sz w:val="17"/>
          <w:szCs w:val="17"/>
          <w:color w:val="auto"/>
        </w:rPr>
        <w:t>(A)  if the transaction or series of transactions is a consolidation of the Company with or a merger of the Company with or into any other Person, the Company shall be the surviving corporation of such merger or consolidation; or</w:t>
      </w:r>
    </w:p>
    <w:p>
      <w:pPr>
        <w:spacing w:after="0" w:line="42" w:lineRule="exact"/>
        <w:rPr>
          <w:sz w:val="20"/>
          <w:szCs w:val="20"/>
          <w:color w:val="auto"/>
        </w:rPr>
      </w:pPr>
    </w:p>
    <w:p>
      <w:pPr>
        <w:ind w:left="968" w:right="240" w:firstLine="388"/>
        <w:spacing w:after="0" w:line="266" w:lineRule="auto"/>
        <w:rPr>
          <w:sz w:val="20"/>
          <w:szCs w:val="20"/>
          <w:color w:val="auto"/>
        </w:rPr>
      </w:pPr>
      <w:r>
        <w:rPr>
          <w:rFonts w:ascii="Times New Roman" w:cs="Times New Roman" w:eastAsia="Times New Roman" w:hAnsi="Times New Roman"/>
          <w:sz w:val="17"/>
          <w:szCs w:val="17"/>
          <w:color w:val="auto"/>
        </w:rPr>
        <w:t>(B)  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 and</w:t>
      </w:r>
    </w:p>
    <w:p>
      <w:pPr>
        <w:spacing w:after="0" w:line="67" w:lineRule="exact"/>
        <w:rPr>
          <w:sz w:val="20"/>
          <w:szCs w:val="20"/>
          <w:color w:val="auto"/>
        </w:rPr>
      </w:pPr>
    </w:p>
    <w:p>
      <w:pPr>
        <w:ind w:left="828"/>
        <w:spacing w:after="0"/>
        <w:tabs>
          <w:tab w:leader="none" w:pos="1228" w:val="left"/>
        </w:tabs>
        <w:rPr>
          <w:sz w:val="20"/>
          <w:szCs w:val="20"/>
          <w:color w:val="auto"/>
        </w:rPr>
      </w:pPr>
      <w:r>
        <w:rPr>
          <w:rFonts w:ascii="Times New Roman" w:cs="Times New Roman" w:eastAsia="Times New Roman" w:hAnsi="Times New Roman"/>
          <w:sz w:val="17"/>
          <w:szCs w:val="17"/>
          <w:color w:val="auto"/>
        </w:rPr>
        <w:t xml:space="preserve">(2) </w:t>
        <w:tab/>
        <w:t>immediately after such transaction, no Default or Event of Default exists.</w:t>
      </w:r>
    </w:p>
    <w:p>
      <w:pPr>
        <w:spacing w:after="0" w:line="2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5.02   Successor Corporation Substituted.</w:t>
      </w:r>
    </w:p>
    <w:p>
      <w:pPr>
        <w:spacing w:after="0" w:line="120" w:lineRule="exact"/>
        <w:rPr>
          <w:sz w:val="20"/>
          <w:szCs w:val="20"/>
          <w:color w:val="auto"/>
        </w:rPr>
      </w:pPr>
    </w:p>
    <w:p>
      <w:pPr>
        <w:ind w:left="8" w:firstLine="426"/>
        <w:spacing w:after="0" w:line="261" w:lineRule="auto"/>
        <w:rPr>
          <w:sz w:val="20"/>
          <w:szCs w:val="20"/>
          <w:color w:val="auto"/>
        </w:rPr>
      </w:pPr>
      <w:r>
        <w:rPr>
          <w:rFonts w:ascii="Times New Roman" w:cs="Times New Roman" w:eastAsia="Times New Roman" w:hAnsi="Times New Roman"/>
          <w:sz w:val="17"/>
          <w:szCs w:val="17"/>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200" w:lineRule="exact"/>
        <w:rPr>
          <w:sz w:val="20"/>
          <w:szCs w:val="20"/>
          <w:color w:val="auto"/>
        </w:rPr>
      </w:pP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ARTICLE 6</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DEFAULTS AND REMEDIES</w:t>
      </w:r>
    </w:p>
    <w:p>
      <w:pPr>
        <w:spacing w:after="0" w:line="2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6.01   Events of Default.</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(a)   Each of the following is an “</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7"/>
          <w:szCs w:val="17"/>
          <w:color w:val="auto"/>
        </w:rPr>
        <w:t>(1)   default for 30 days in the payment when due of interest on the Notes;</w:t>
      </w:r>
    </w:p>
    <w:p>
      <w:pPr>
        <w:spacing w:after="0" w:line="118"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7"/>
          <w:szCs w:val="17"/>
          <w:color w:val="auto"/>
        </w:rPr>
        <w:t>(2)   default in the payment when due (at maturity, upon redemption or otherwise) of the principal of, or premium, if any, on the Notes;</w:t>
      </w:r>
    </w:p>
    <w:p>
      <w:pPr>
        <w:spacing w:after="0" w:line="2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648"/>
          </w:cols>
          <w:pgMar w:left="612" w:top="264" w:right="639" w:bottom="1440" w:gutter="0" w:footer="0" w:header="0"/>
        </w:sectPr>
      </w:pPr>
    </w:p>
    <w:bookmarkStart w:id="336" w:name="page337"/>
    <w:bookmarkEnd w:id="336"/>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   failure by the Company to comply with its obligations under the provisions of Sections 4.08, 4.10 or 5.01 hereof;</w:t>
      </w:r>
    </w:p>
    <w:p>
      <w:pPr>
        <w:spacing w:after="0" w:line="118" w:lineRule="exact"/>
        <w:rPr>
          <w:sz w:val="20"/>
          <w:szCs w:val="20"/>
          <w:color w:val="auto"/>
        </w:rPr>
      </w:pPr>
    </w:p>
    <w:p>
      <w:pPr>
        <w:ind w:right="260" w:firstLine="409"/>
        <w:spacing w:after="0" w:line="295" w:lineRule="auto"/>
        <w:rPr>
          <w:sz w:val="20"/>
          <w:szCs w:val="20"/>
          <w:color w:val="auto"/>
        </w:rPr>
      </w:pPr>
      <w:r>
        <w:rPr>
          <w:rFonts w:ascii="Times New Roman" w:cs="Times New Roman" w:eastAsia="Times New Roman" w:hAnsi="Times New Roman"/>
          <w:sz w:val="17"/>
          <w:szCs w:val="17"/>
          <w:color w:val="auto"/>
        </w:rPr>
        <w:t>(4)  failure by the Company for 60 days after notice to the Company by the Trustee or the Holders of at least 25% in aggregate principal amount of the Notes then outstanding voting as a single class to comply with any of the other agreements in this Indenture;</w:t>
      </w:r>
    </w:p>
    <w:p>
      <w:pPr>
        <w:spacing w:after="0" w:line="42" w:lineRule="exact"/>
        <w:rPr>
          <w:sz w:val="20"/>
          <w:szCs w:val="20"/>
          <w:color w:val="auto"/>
        </w:rPr>
      </w:pPr>
    </w:p>
    <w:p>
      <w:pPr>
        <w:ind w:firstLine="409"/>
        <w:spacing w:after="0" w:line="263" w:lineRule="auto"/>
        <w:rPr>
          <w:sz w:val="20"/>
          <w:szCs w:val="20"/>
          <w:color w:val="auto"/>
        </w:rPr>
      </w:pPr>
      <w:r>
        <w:rPr>
          <w:rFonts w:ascii="Times New Roman" w:cs="Times New Roman" w:eastAsia="Times New Roman" w:hAnsi="Times New Roman"/>
          <w:sz w:val="17"/>
          <w:szCs w:val="17"/>
          <w:color w:val="auto"/>
        </w:rPr>
        <w:t>(5)  default under any mortgage, indenture or instrument (other than the Senior Credit Agreement and the Senior Revolving Facility Agreement) under which there may be issued or by which there may be secured or evidenced any Indebtedness for money borrowed by the Company or any of its Subsidiaries (or the payment of which is guaranteed by the Company or any of its Subsidiaries), whether such Indebtedness (or guarantee) now exists, or is created after the date of this Indenture, if such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more, if such acceleration is not annulled within 30 days after written notice as provided in this Indenture;</w:t>
      </w:r>
    </w:p>
    <w:p>
      <w:pPr>
        <w:spacing w:after="0" w:line="69" w:lineRule="exact"/>
        <w:rPr>
          <w:sz w:val="20"/>
          <w:szCs w:val="20"/>
          <w:color w:val="auto"/>
        </w:rPr>
      </w:pPr>
    </w:p>
    <w:p>
      <w:pPr>
        <w:ind w:right="140" w:firstLine="409"/>
        <w:spacing w:after="0" w:line="295" w:lineRule="auto"/>
        <w:rPr>
          <w:sz w:val="20"/>
          <w:szCs w:val="20"/>
          <w:color w:val="auto"/>
        </w:rPr>
      </w:pPr>
      <w:r>
        <w:rPr>
          <w:rFonts w:ascii="Times New Roman" w:cs="Times New Roman" w:eastAsia="Times New Roman" w:hAnsi="Times New Roman"/>
          <w:sz w:val="17"/>
          <w:szCs w:val="17"/>
          <w:color w:val="auto"/>
        </w:rPr>
        <w:t>(6)  default under the Senior Credit Agreement or the Senior Revolving Facility Agreement that results in the acceleration thereof prior to the final maturity thereof;</w:t>
      </w:r>
    </w:p>
    <w:p>
      <w:pPr>
        <w:spacing w:after="0" w:line="42" w:lineRule="exact"/>
        <w:rPr>
          <w:sz w:val="20"/>
          <w:szCs w:val="20"/>
          <w:color w:val="auto"/>
        </w:rPr>
      </w:pPr>
    </w:p>
    <w:p>
      <w:pPr>
        <w:ind w:firstLine="409"/>
        <w:spacing w:after="0" w:line="269" w:lineRule="auto"/>
        <w:rPr>
          <w:sz w:val="20"/>
          <w:szCs w:val="20"/>
          <w:color w:val="auto"/>
        </w:rPr>
      </w:pPr>
      <w:r>
        <w:rPr>
          <w:rFonts w:ascii="Times New Roman" w:cs="Times New Roman" w:eastAsia="Times New Roman" w:hAnsi="Times New Roman"/>
          <w:sz w:val="17"/>
          <w:szCs w:val="17"/>
          <w:color w:val="auto"/>
        </w:rPr>
        <w:t>(7)  failure by the Company or any of its Subsidiaries that is a Significant Subsidiary or any group of Subsidiaries that, taken together, would constitute a Significant Subsidiary to pay final judgments entered by a court or courts of competent jurisdiction (other than any judgment as to which a reputable third party insurer has accepted full responsibility and coverage) aggregating in excess of US$50.0 million, which judgments are not paid, discharged or stayed for a period of 60 days;</w:t>
      </w:r>
    </w:p>
    <w:p>
      <w:pPr>
        <w:spacing w:after="0" w:line="65" w:lineRule="exact"/>
        <w:rPr>
          <w:sz w:val="20"/>
          <w:szCs w:val="20"/>
          <w:color w:val="auto"/>
        </w:rPr>
      </w:pPr>
    </w:p>
    <w:p>
      <w:pPr>
        <w:ind w:right="620" w:firstLine="409"/>
        <w:spacing w:after="0" w:line="295" w:lineRule="auto"/>
        <w:rPr>
          <w:sz w:val="20"/>
          <w:szCs w:val="20"/>
          <w:color w:val="auto"/>
        </w:rPr>
      </w:pPr>
      <w:r>
        <w:rPr>
          <w:rFonts w:ascii="Times New Roman" w:cs="Times New Roman" w:eastAsia="Times New Roman" w:hAnsi="Times New Roman"/>
          <w:sz w:val="17"/>
          <w:szCs w:val="17"/>
          <w:color w:val="auto"/>
        </w:rPr>
        <w:t>(8)  the Company or any of its Subsidiaries that is a Significant Subsidiary or any group of Subsidiaries that, taken together, would constitute a Significant Subsidiary pursuant to or within the meaning of Bankruptcy Law:</w:t>
      </w:r>
    </w:p>
    <w:p>
      <w:pPr>
        <w:spacing w:after="0" w:line="42" w:lineRule="exact"/>
        <w:rPr>
          <w:sz w:val="20"/>
          <w:szCs w:val="20"/>
          <w:color w:val="auto"/>
        </w:rPr>
      </w:pPr>
    </w:p>
    <w:p>
      <w:pPr>
        <w:ind w:left="1200" w:hanging="280"/>
        <w:spacing w:after="0"/>
        <w:tabs>
          <w:tab w:leader="none" w:pos="120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w:t>
      </w:r>
    </w:p>
    <w:p>
      <w:pPr>
        <w:spacing w:after="0" w:line="118" w:lineRule="exact"/>
        <w:rPr>
          <w:rFonts w:ascii="Times New Roman" w:cs="Times New Roman" w:eastAsia="Times New Roman" w:hAnsi="Times New Roman"/>
          <w:sz w:val="17"/>
          <w:szCs w:val="17"/>
          <w:color w:val="auto"/>
        </w:rPr>
      </w:pPr>
    </w:p>
    <w:p>
      <w:pPr>
        <w:ind w:left="920" w:right="4220"/>
        <w:spacing w:after="0" w:line="385" w:lineRule="auto"/>
        <w:tabs>
          <w:tab w:leader="none" w:pos="1196"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entry of an order for relief against it in an involuntary case,</w:t>
      </w: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consents to the appointment of a custodian of it or for all or substantially all of its property,</w:t>
      </w:r>
    </w:p>
    <w:p>
      <w:pPr>
        <w:spacing w:after="0" w:line="118" w:lineRule="exact"/>
        <w:rPr>
          <w:rFonts w:ascii="Times New Roman" w:cs="Times New Roman" w:eastAsia="Times New Roman" w:hAnsi="Times New Roman"/>
          <w:sz w:val="17"/>
          <w:szCs w:val="17"/>
          <w:color w:val="auto"/>
        </w:rPr>
      </w:pPr>
    </w:p>
    <w:p>
      <w:pPr>
        <w:ind w:left="1200" w:hanging="280"/>
        <w:spacing w:after="0"/>
        <w:tabs>
          <w:tab w:leader="none" w:pos="120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for the benefit of its creditors, or</w:t>
      </w:r>
    </w:p>
    <w:p>
      <w:pPr>
        <w:spacing w:after="0" w:line="118" w:lineRule="exact"/>
        <w:rPr>
          <w:rFonts w:ascii="Times New Roman" w:cs="Times New Roman" w:eastAsia="Times New Roman" w:hAnsi="Times New Roman"/>
          <w:sz w:val="17"/>
          <w:szCs w:val="17"/>
          <w:color w:val="auto"/>
        </w:rPr>
      </w:pPr>
    </w:p>
    <w:p>
      <w:pPr>
        <w:ind w:left="1180" w:hanging="260"/>
        <w:spacing w:after="0"/>
        <w:tabs>
          <w:tab w:leader="none" w:pos="11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is not paying its debts as they become due;</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(9)   a court of competent jurisdiction enters an order or decree under any Bankruptcy Law that:</w:t>
      </w:r>
    </w:p>
    <w:p>
      <w:pPr>
        <w:spacing w:after="0" w:line="118" w:lineRule="exact"/>
        <w:rPr>
          <w:sz w:val="20"/>
          <w:szCs w:val="20"/>
          <w:color w:val="auto"/>
        </w:rPr>
      </w:pPr>
    </w:p>
    <w:p>
      <w:pPr>
        <w:ind w:left="540" w:right="280" w:firstLine="388"/>
        <w:spacing w:after="0" w:line="295" w:lineRule="auto"/>
        <w:rPr>
          <w:sz w:val="20"/>
          <w:szCs w:val="20"/>
          <w:color w:val="auto"/>
        </w:rPr>
      </w:pPr>
      <w:r>
        <w:rPr>
          <w:rFonts w:ascii="Times New Roman" w:cs="Times New Roman" w:eastAsia="Times New Roman" w:hAnsi="Times New Roman"/>
          <w:sz w:val="17"/>
          <w:szCs w:val="17"/>
          <w:color w:val="auto"/>
        </w:rPr>
        <w:t>(A)  is for relief against the Company or any of its Subsidiaries that is a Significant Subsidiary or any group of Subsidiaries that, taken together, would constitute a Significant Subsidiary in an involuntary case;</w:t>
      </w:r>
    </w:p>
    <w:p>
      <w:pPr>
        <w:spacing w:after="0" w:line="42" w:lineRule="exact"/>
        <w:rPr>
          <w:sz w:val="20"/>
          <w:szCs w:val="20"/>
          <w:color w:val="auto"/>
        </w:rPr>
      </w:pPr>
    </w:p>
    <w:p>
      <w:pPr>
        <w:ind w:left="540" w:right="60" w:firstLine="388"/>
        <w:spacing w:after="0" w:line="276" w:lineRule="auto"/>
        <w:rPr>
          <w:sz w:val="20"/>
          <w:szCs w:val="20"/>
          <w:color w:val="auto"/>
        </w:rPr>
      </w:pPr>
      <w:r>
        <w:rPr>
          <w:rFonts w:ascii="Times New Roman" w:cs="Times New Roman" w:eastAsia="Times New Roman" w:hAnsi="Times New Roman"/>
          <w:sz w:val="17"/>
          <w:szCs w:val="17"/>
          <w:color w:val="auto"/>
        </w:rPr>
        <w:t>(B)  appoints a custodian of the Company or of any of its Subsidiaries that is a Significant Subsidiary or any group of Subsidiaries that, taken together, would constitute a Significant Subsidiary or for all or substantially all of the property of the Company or any of its Subsidiaries that is a Significant Subsidiary or any group of Subsidiaries that, taken together, would constitute a Significant Subsidiary; or</w:t>
      </w:r>
    </w:p>
    <w:p>
      <w:pPr>
        <w:spacing w:after="0" w:line="57" w:lineRule="exact"/>
        <w:rPr>
          <w:sz w:val="20"/>
          <w:szCs w:val="20"/>
          <w:color w:val="auto"/>
        </w:rPr>
      </w:pPr>
    </w:p>
    <w:p>
      <w:pPr>
        <w:ind w:left="540" w:right="80" w:firstLine="388"/>
        <w:spacing w:after="0" w:line="295" w:lineRule="auto"/>
        <w:rPr>
          <w:sz w:val="20"/>
          <w:szCs w:val="20"/>
          <w:color w:val="auto"/>
        </w:rPr>
      </w:pPr>
      <w:r>
        <w:rPr>
          <w:rFonts w:ascii="Times New Roman" w:cs="Times New Roman" w:eastAsia="Times New Roman" w:hAnsi="Times New Roman"/>
          <w:sz w:val="17"/>
          <w:szCs w:val="17"/>
          <w:color w:val="auto"/>
        </w:rPr>
        <w:t>(C)  orders the liquidation of the Company or of any of its Subsidiaries that is a Significant Subsidiary or any group of Subsidiaries that, taken together, would constitute a Significant Subsidiary.</w:t>
      </w:r>
    </w:p>
    <w:p>
      <w:pPr>
        <w:spacing w:after="0" w:line="8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220"/>
          </w:cols>
          <w:pgMar w:left="1040" w:top="265" w:right="639" w:bottom="1440" w:gutter="0" w:footer="0" w:header="0"/>
        </w:sectPr>
      </w:pPr>
    </w:p>
    <w:bookmarkStart w:id="337" w:name="page338"/>
    <w:bookmarkEnd w:id="337"/>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6.02   Acceleration.</w:t>
      </w:r>
    </w:p>
    <w:p>
      <w:pPr>
        <w:spacing w:after="0" w:line="120"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7"/>
          <w:szCs w:val="17"/>
          <w:color w:val="auto"/>
        </w:rPr>
        <w:t>In the case of an Event of Default specified in Section 6.01(a)(8) or 6.01(a)(9) hereof, with respect to the Company, any Subsidiary of the Company that is a Significant Subsidiary or any group of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71"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 xml:space="preserve">The Holders of a majority in aggregate principal amount of the then outstanding Notes by notice to the Trustee may, on behalf of all of the Holders, rescind an acceleration of the Notes or waive any existing Default or Event of Default and its consequences under this Indenture except with respect to a continuing Default or Event of Default in the payment of principal, interest, premium or Additional Amounts, if any, on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Holders of a majority in aggregate principal amount of the then outstanding Notes may rescind an acceleration and its consequences,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any related payment default that resulted from such acceleration.</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6.03   Other Remedies.</w:t>
      </w:r>
    </w:p>
    <w:p>
      <w:pPr>
        <w:spacing w:after="0" w:line="120" w:lineRule="exact"/>
        <w:rPr>
          <w:sz w:val="20"/>
          <w:szCs w:val="20"/>
          <w:color w:val="auto"/>
        </w:rPr>
      </w:pPr>
    </w:p>
    <w:p>
      <w:pPr>
        <w:ind w:right="260" w:firstLine="426"/>
        <w:spacing w:after="0" w:line="295" w:lineRule="auto"/>
        <w:rPr>
          <w:sz w:val="20"/>
          <w:szCs w:val="20"/>
          <w:color w:val="auto"/>
        </w:rPr>
      </w:pPr>
      <w:r>
        <w:rPr>
          <w:rFonts w:ascii="Times New Roman" w:cs="Times New Roman" w:eastAsia="Times New Roman" w:hAnsi="Times New Roman"/>
          <w:sz w:val="17"/>
          <w:szCs w:val="17"/>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147" w:lineRule="exact"/>
        <w:rPr>
          <w:sz w:val="20"/>
          <w:szCs w:val="20"/>
          <w:color w:val="auto"/>
        </w:rPr>
      </w:pPr>
    </w:p>
    <w:p>
      <w:pPr>
        <w:ind w:right="40" w:firstLine="426"/>
        <w:spacing w:after="0" w:line="276" w:lineRule="auto"/>
        <w:rPr>
          <w:sz w:val="20"/>
          <w:szCs w:val="20"/>
          <w:color w:val="auto"/>
        </w:rPr>
      </w:pPr>
      <w:r>
        <w:rPr>
          <w:rFonts w:ascii="Times New Roman" w:cs="Times New Roman" w:eastAsia="Times New Roman" w:hAnsi="Times New Roman"/>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6.04   Waiver of Past Defaults.</w:t>
      </w:r>
    </w:p>
    <w:p>
      <w:pPr>
        <w:spacing w:after="0" w:line="120"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 xml:space="preserve">Holders of a majority in aggregate principal amount of the then outstanding Notes by written notice to the Trustee may on behalf of the Holders of all of the Notes waive an existing Default or Event of Default and its consequences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Holders of not less than 90% of the aggregate principal amount of the then outstanding Notes shall be required to waive a continuing Default or Event of Default in the payment of the principal of, premium, Additional Amounts, if any, or interest on, the Notes;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6.05   Control by Majority.</w:t>
      </w:r>
    </w:p>
    <w:p>
      <w:pPr>
        <w:spacing w:after="0" w:line="120" w:lineRule="exact"/>
        <w:rPr>
          <w:sz w:val="20"/>
          <w:szCs w:val="20"/>
          <w:color w:val="auto"/>
        </w:rPr>
      </w:pPr>
    </w:p>
    <w:p>
      <w:pPr>
        <w:ind w:right="100" w:firstLine="426"/>
        <w:spacing w:after="0" w:line="269" w:lineRule="auto"/>
        <w:rPr>
          <w:sz w:val="20"/>
          <w:szCs w:val="20"/>
          <w:color w:val="auto"/>
        </w:rPr>
      </w:pPr>
      <w:r>
        <w:rPr>
          <w:rFonts w:ascii="Times New Roman" w:cs="Times New Roman" w:eastAsia="Times New Roman" w:hAnsi="Times New Roman"/>
          <w:sz w:val="17"/>
          <w:szCs w:val="17"/>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640"/>
          </w:cols>
          <w:pgMar w:left="620" w:top="262" w:right="639" w:bottom="1440" w:gutter="0" w:footer="0" w:header="0"/>
        </w:sectPr>
      </w:pPr>
    </w:p>
    <w:bookmarkStart w:id="338" w:name="page339"/>
    <w:bookmarkEnd w:id="338"/>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6.06   Limitation on Suits.</w:t>
      </w:r>
    </w:p>
    <w:p>
      <w:pPr>
        <w:spacing w:after="0" w:line="120" w:lineRule="exact"/>
        <w:rPr>
          <w:sz w:val="20"/>
          <w:szCs w:val="20"/>
          <w:color w:val="auto"/>
        </w:rPr>
      </w:pPr>
    </w:p>
    <w:p>
      <w:pPr>
        <w:ind w:right="180" w:firstLine="426"/>
        <w:spacing w:after="0" w:line="266" w:lineRule="auto"/>
        <w:rPr>
          <w:sz w:val="20"/>
          <w:szCs w:val="20"/>
          <w:color w:val="auto"/>
        </w:rPr>
      </w:pPr>
      <w:r>
        <w:rPr>
          <w:rFonts w:ascii="Times New Roman" w:cs="Times New Roman" w:eastAsia="Times New Roman" w:hAnsi="Times New Roman"/>
          <w:sz w:val="17"/>
          <w:szCs w:val="17"/>
          <w:color w:val="auto"/>
        </w:rPr>
        <w:t>(a)  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such Holder has previously given the Trustee written notice that an Event of Default is continuing;</w:t>
      </w:r>
    </w:p>
    <w:p>
      <w:pPr>
        <w:spacing w:after="0" w:line="118" w:lineRule="exact"/>
        <w:rPr>
          <w:sz w:val="20"/>
          <w:szCs w:val="20"/>
          <w:color w:val="auto"/>
        </w:rPr>
      </w:pPr>
    </w:p>
    <w:p>
      <w:pPr>
        <w:ind w:left="420" w:right="380" w:firstLine="409"/>
        <w:spacing w:after="0" w:line="295" w:lineRule="auto"/>
        <w:rPr>
          <w:sz w:val="20"/>
          <w:szCs w:val="20"/>
          <w:color w:val="auto"/>
        </w:rPr>
      </w:pPr>
      <w:r>
        <w:rPr>
          <w:rFonts w:ascii="Times New Roman" w:cs="Times New Roman" w:eastAsia="Times New Roman" w:hAnsi="Times New Roman"/>
          <w:sz w:val="17"/>
          <w:szCs w:val="17"/>
          <w:color w:val="auto"/>
        </w:rPr>
        <w:t>(2)  Holders of at least 25% in aggregate principal amount of the then outstanding Notes have made a written request to the Trustee to pursue the remedy;</w:t>
      </w:r>
    </w:p>
    <w:p>
      <w:pPr>
        <w:spacing w:after="0" w:line="1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such Holders have offered the Trustee security and/or indemnity satisfactory to the Trustee against any loss, liability or expense;</w:t>
      </w:r>
    </w:p>
    <w:p>
      <w:pPr>
        <w:spacing w:after="0" w:line="118" w:lineRule="exact"/>
        <w:rPr>
          <w:sz w:val="20"/>
          <w:szCs w:val="20"/>
          <w:color w:val="auto"/>
        </w:rPr>
      </w:pPr>
    </w:p>
    <w:p>
      <w:pPr>
        <w:ind w:left="420" w:firstLine="409"/>
        <w:spacing w:after="0" w:line="295" w:lineRule="auto"/>
        <w:rPr>
          <w:sz w:val="20"/>
          <w:szCs w:val="20"/>
          <w:color w:val="auto"/>
        </w:rPr>
      </w:pPr>
      <w:r>
        <w:rPr>
          <w:rFonts w:ascii="Times New Roman" w:cs="Times New Roman" w:eastAsia="Times New Roman" w:hAnsi="Times New Roman"/>
          <w:sz w:val="17"/>
          <w:szCs w:val="17"/>
          <w:color w:val="auto"/>
        </w:rPr>
        <w:t>(4)  the Trustee has not complied with such request within 60 days after the receipt of the request and the offer of security and/or indemnity to its satisfaction; and</w:t>
      </w:r>
    </w:p>
    <w:p>
      <w:pPr>
        <w:spacing w:after="0" w:line="42" w:lineRule="exact"/>
        <w:rPr>
          <w:sz w:val="20"/>
          <w:szCs w:val="20"/>
          <w:color w:val="auto"/>
        </w:rPr>
      </w:pPr>
    </w:p>
    <w:p>
      <w:pPr>
        <w:ind w:left="420" w:right="460" w:firstLine="409"/>
        <w:spacing w:after="0" w:line="295" w:lineRule="auto"/>
        <w:rPr>
          <w:sz w:val="20"/>
          <w:szCs w:val="20"/>
          <w:color w:val="auto"/>
        </w:rPr>
      </w:pPr>
      <w:r>
        <w:rPr>
          <w:rFonts w:ascii="Times New Roman" w:cs="Times New Roman" w:eastAsia="Times New Roman" w:hAnsi="Times New Roman"/>
          <w:sz w:val="17"/>
          <w:szCs w:val="17"/>
          <w:color w:val="auto"/>
        </w:rPr>
        <w:t>(5)  during such 60-day period, Holders of a majority in aggregate principal amount of the then outstanding Notes have not given the Trustee a direction inconsistent with such request.</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   A Holder may not use this Indenture to prejudice the rights of another Holder or to obtain a preference or priority over another Holder.</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6.07   Rights of Holders to Receive Payment.</w:t>
      </w:r>
    </w:p>
    <w:p>
      <w:pPr>
        <w:spacing w:after="0" w:line="120" w:lineRule="exact"/>
        <w:rPr>
          <w:sz w:val="20"/>
          <w:szCs w:val="20"/>
          <w:color w:val="auto"/>
        </w:rPr>
      </w:pPr>
    </w:p>
    <w:p>
      <w:pPr>
        <w:ind w:right="40" w:firstLine="426"/>
        <w:spacing w:after="0" w:line="264" w:lineRule="auto"/>
        <w:rPr>
          <w:sz w:val="20"/>
          <w:szCs w:val="20"/>
          <w:color w:val="auto"/>
        </w:rPr>
      </w:pPr>
      <w:r>
        <w:rPr>
          <w:rFonts w:ascii="Times New Roman" w:cs="Times New Roman" w:eastAsia="Times New Roman" w:hAnsi="Times New Roman"/>
          <w:sz w:val="17"/>
          <w:szCs w:val="17"/>
          <w:color w:val="auto"/>
        </w:rPr>
        <w:t xml:space="preserve">Subject to Section 9.02 hereof,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Holders of not less than 90% of the aggregate principal of the then outstanding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6.08   Collection Suit by Trustee.</w:t>
      </w:r>
    </w:p>
    <w:p>
      <w:pPr>
        <w:spacing w:after="0" w:line="120"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7"/>
          <w:szCs w:val="17"/>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620"/>
          </w:cols>
          <w:pgMar w:left="620" w:top="262" w:right="659" w:bottom="1440" w:gutter="0" w:footer="0" w:header="0"/>
        </w:sectPr>
      </w:pPr>
    </w:p>
    <w:bookmarkStart w:id="339" w:name="page340"/>
    <w:bookmarkEnd w:id="339"/>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6.09   Trustee May File Proofs of Claim.</w:t>
      </w:r>
    </w:p>
    <w:p>
      <w:pPr>
        <w:spacing w:after="0" w:line="120" w:lineRule="exact"/>
        <w:rPr>
          <w:sz w:val="20"/>
          <w:szCs w:val="20"/>
          <w:color w:val="auto"/>
        </w:rPr>
      </w:pPr>
    </w:p>
    <w:p>
      <w:pPr>
        <w:ind w:firstLine="426"/>
        <w:spacing w:after="0" w:line="259" w:lineRule="auto"/>
        <w:rPr>
          <w:sz w:val="20"/>
          <w:szCs w:val="20"/>
          <w:color w:val="auto"/>
        </w:rPr>
      </w:pPr>
      <w:r>
        <w:rPr>
          <w:rFonts w:ascii="Times New Roman" w:cs="Times New Roman" w:eastAsia="Times New Roman" w:hAnsi="Times New Roman"/>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ectPr>
          <w:pgSz w:w="11900" w:h="16838" w:orient="portrait"/>
          <w:cols w:equalWidth="0" w:num="1">
            <w:col w:w="10600"/>
          </w:cols>
          <w:pgMar w:left="620" w:top="262" w:right="679" w:bottom="1440" w:gutter="0" w:footer="0" w:header="0"/>
        </w:sectPr>
      </w:pPr>
    </w:p>
    <w:p>
      <w:pPr>
        <w:spacing w:after="0" w:line="3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i w:val="1"/>
          <w:iCs w:val="1"/>
          <w:color w:val="auto"/>
        </w:rPr>
        <w:t>Section 6.10 </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Priorities.</w:t>
      </w:r>
    </w:p>
    <w:p>
      <w:pPr>
        <w:spacing w:after="0" w:line="120" w:lineRule="exact"/>
        <w:rPr>
          <w:sz w:val="20"/>
          <w:szCs w:val="20"/>
          <w:color w:val="auto"/>
        </w:rPr>
      </w:pPr>
    </w:p>
    <w:p>
      <w:pPr>
        <w:sectPr>
          <w:pgSz w:w="11900" w:h="16838" w:orient="portrait"/>
          <w:cols w:equalWidth="0" w:num="2">
            <w:col w:w="1320" w:space="140"/>
            <w:col w:w="9140"/>
          </w:cols>
          <w:pgMar w:left="620" w:top="262" w:right="67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If the Trustee collects any money pursuant to this Article 6, it shall pay out the money in the following order:</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to the Trustee, the Agents, and their respective agents and attorneys for amounts due under Section 7.08 hereof, including payment</w:t>
      </w:r>
    </w:p>
    <w:p>
      <w:pPr>
        <w:sectPr>
          <w:pgSz w:w="11900" w:h="16838" w:orient="portrait"/>
          <w:cols w:equalWidth="0" w:num="1">
            <w:col w:w="10600"/>
          </w:cols>
          <w:pgMar w:left="620" w:top="262" w:right="679" w:bottom="1440" w:gutter="0" w:footer="0" w:header="0"/>
          <w:type w:val="continuous"/>
        </w:sectPr>
      </w:pPr>
    </w:p>
    <w:p>
      <w:pPr>
        <w:spacing w:after="0" w:line="34" w:lineRule="exact"/>
        <w:rPr>
          <w:sz w:val="20"/>
          <w:szCs w:val="20"/>
          <w:color w:val="auto"/>
        </w:rPr>
      </w:pPr>
    </w:p>
    <w:p>
      <w:pPr>
        <w:ind w:left="420" w:right="640"/>
        <w:spacing w:after="0" w:line="273" w:lineRule="auto"/>
        <w:rPr>
          <w:sz w:val="20"/>
          <w:szCs w:val="20"/>
          <w:color w:val="auto"/>
        </w:rPr>
      </w:pPr>
      <w:r>
        <w:rPr>
          <w:rFonts w:ascii="Times New Roman" w:cs="Times New Roman" w:eastAsia="Times New Roman" w:hAnsi="Times New Roman"/>
          <w:sz w:val="17"/>
          <w:szCs w:val="17"/>
          <w:color w:val="auto"/>
        </w:rPr>
        <w:t>of all compensation, expenses and liabilities incurred, and all advances made, by the Trustee or any Agent, and the costs and expenses of collection;</w:t>
      </w:r>
    </w:p>
    <w:p>
      <w:pPr>
        <w:spacing w:after="0" w:line="58" w:lineRule="exact"/>
        <w:rPr>
          <w:sz w:val="20"/>
          <w:szCs w:val="20"/>
          <w:color w:val="auto"/>
        </w:rPr>
      </w:pPr>
    </w:p>
    <w:p>
      <w:pPr>
        <w:ind w:left="420" w:firstLine="409"/>
        <w:spacing w:after="0" w:line="277" w:lineRule="auto"/>
        <w:rPr>
          <w:sz w:val="20"/>
          <w:szCs w:val="20"/>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to Holders for amounts due and unpaid on the Notes for principal, premium, Additional Amounts, if any, and interest, ratably,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preference or priority of any kind, according to the amounts due and payable on the Notes for principal, premium, Additional Amounts, if any, and interest, respectively; and</w:t>
      </w:r>
    </w:p>
    <w:p>
      <w:pPr>
        <w:spacing w:after="0" w:line="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to the Company or to such party as a court of competent jurisdiction shall direct.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Trustee may fix a record date and payment date for any payment to Holders pursuant to this Section 6.10.</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6.11   Undertaking for Costs.</w:t>
      </w:r>
    </w:p>
    <w:p>
      <w:pPr>
        <w:spacing w:after="0" w:line="120" w:lineRule="exact"/>
        <w:rPr>
          <w:sz w:val="20"/>
          <w:szCs w:val="20"/>
          <w:color w:val="auto"/>
        </w:rPr>
      </w:pPr>
    </w:p>
    <w:p>
      <w:pPr>
        <w:ind w:right="40" w:firstLine="426"/>
        <w:spacing w:after="0" w:line="266" w:lineRule="auto"/>
        <w:rPr>
          <w:sz w:val="20"/>
          <w:szCs w:val="20"/>
          <w:color w:val="auto"/>
        </w:rPr>
      </w:pPr>
      <w:r>
        <w:rPr>
          <w:rFonts w:ascii="Times New Roman" w:cs="Times New Roman" w:eastAsia="Times New Roman" w:hAnsi="Times New Roman"/>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600"/>
          </w:cols>
          <w:pgMar w:left="620" w:top="262" w:right="679" w:bottom="1440" w:gutter="0" w:footer="0" w:header="0"/>
          <w:type w:val="continuous"/>
        </w:sectPr>
      </w:pPr>
    </w:p>
    <w:bookmarkStart w:id="340" w:name="page341"/>
    <w:bookmarkEnd w:id="340"/>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7</w:t>
      </w:r>
    </w:p>
    <w:p>
      <w:pPr>
        <w:spacing w:after="0" w:line="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TRUSTEE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7.01   Duties of Trustee.</w:t>
      </w:r>
    </w:p>
    <w:p>
      <w:pPr>
        <w:spacing w:after="0" w:line="120" w:lineRule="exact"/>
        <w:rPr>
          <w:sz w:val="20"/>
          <w:szCs w:val="20"/>
          <w:color w:val="auto"/>
        </w:rPr>
      </w:pPr>
    </w:p>
    <w:p>
      <w:pPr>
        <w:ind w:right="200" w:firstLine="426"/>
        <w:spacing w:after="0" w:line="276" w:lineRule="auto"/>
        <w:rPr>
          <w:sz w:val="20"/>
          <w:szCs w:val="20"/>
          <w:color w:val="auto"/>
        </w:rPr>
      </w:pPr>
      <w:r>
        <w:rPr>
          <w:rFonts w:ascii="Times New Roman" w:cs="Times New Roman" w:eastAsia="Times New Roman" w:hAnsi="Times New Roman"/>
          <w:sz w:val="17"/>
          <w:szCs w:val="17"/>
          <w:color w:val="auto"/>
        </w:rPr>
        <w:t>(a)  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   Except during the continuance of an Event of Default:</w:t>
      </w:r>
    </w:p>
    <w:p>
      <w:pPr>
        <w:spacing w:after="0" w:line="118" w:lineRule="exact"/>
        <w:rPr>
          <w:sz w:val="20"/>
          <w:szCs w:val="20"/>
          <w:color w:val="auto"/>
        </w:rPr>
      </w:pPr>
    </w:p>
    <w:p>
      <w:pPr>
        <w:ind w:left="420" w:right="100" w:firstLine="409"/>
        <w:spacing w:after="0" w:line="276" w:lineRule="auto"/>
        <w:rPr>
          <w:sz w:val="20"/>
          <w:szCs w:val="20"/>
          <w:color w:val="auto"/>
        </w:rPr>
      </w:pPr>
      <w:r>
        <w:rPr>
          <w:rFonts w:ascii="Times New Roman" w:cs="Times New Roman" w:eastAsia="Times New Roman" w:hAnsi="Times New Roman"/>
          <w:sz w:val="17"/>
          <w:szCs w:val="17"/>
          <w:color w:val="auto"/>
        </w:rPr>
        <w:t>(1)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57" w:lineRule="exact"/>
        <w:rPr>
          <w:sz w:val="20"/>
          <w:szCs w:val="20"/>
          <w:color w:val="auto"/>
        </w:rPr>
      </w:pPr>
    </w:p>
    <w:p>
      <w:pPr>
        <w:ind w:left="420" w:right="100" w:firstLine="409"/>
        <w:spacing w:after="0" w:line="276" w:lineRule="auto"/>
        <w:rPr>
          <w:sz w:val="20"/>
          <w:szCs w:val="20"/>
          <w:color w:val="auto"/>
        </w:rPr>
      </w:pPr>
      <w:r>
        <w:rPr>
          <w:rFonts w:ascii="Times New Roman" w:cs="Times New Roman" w:eastAsia="Times New Roman" w:hAnsi="Times New Roman"/>
          <w:sz w:val="17"/>
          <w:szCs w:val="17"/>
          <w:color w:val="auto"/>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57" w:lineRule="exact"/>
        <w:rPr>
          <w:sz w:val="20"/>
          <w:szCs w:val="20"/>
          <w:color w:val="auto"/>
        </w:rPr>
      </w:pPr>
    </w:p>
    <w:p>
      <w:pPr>
        <w:ind w:left="420" w:firstLine="409"/>
        <w:spacing w:after="0" w:line="276" w:lineRule="auto"/>
        <w:rPr>
          <w:sz w:val="20"/>
          <w:szCs w:val="20"/>
          <w:color w:val="auto"/>
        </w:rPr>
      </w:pPr>
      <w:r>
        <w:rPr>
          <w:rFonts w:ascii="Times New Roman" w:cs="Times New Roman" w:eastAsia="Times New Roman" w:hAnsi="Times New Roman"/>
          <w:sz w:val="17"/>
          <w:szCs w:val="17"/>
          <w:color w:val="auto"/>
        </w:rPr>
        <w:t>(3)  the Trustee shall not be charged with knowledge of any Default or Event of Default unless the Company has delivered written notice of such default or Event of Default to a Responsible Officer at the Corporate Trust Office of the Trustee referencing the applicable provision of this Indenture.</w:t>
      </w:r>
    </w:p>
    <w:p>
      <w:pPr>
        <w:spacing w:after="0" w:line="162" w:lineRule="exact"/>
        <w:rPr>
          <w:sz w:val="20"/>
          <w:szCs w:val="20"/>
          <w:color w:val="auto"/>
        </w:rPr>
      </w:pPr>
    </w:p>
    <w:p>
      <w:pPr>
        <w:ind w:right="480" w:firstLine="426"/>
        <w:spacing w:after="0" w:line="295" w:lineRule="auto"/>
        <w:rPr>
          <w:sz w:val="20"/>
          <w:szCs w:val="20"/>
          <w:color w:val="auto"/>
        </w:rPr>
      </w:pPr>
      <w:r>
        <w:rPr>
          <w:rFonts w:ascii="Times New Roman" w:cs="Times New Roman" w:eastAsia="Times New Roman" w:hAnsi="Times New Roman"/>
          <w:sz w:val="17"/>
          <w:szCs w:val="17"/>
          <w:color w:val="auto"/>
        </w:rPr>
        <w:t>(c)  The Trustee may not be relieved from liabilities for its own grossly negligent action, its own grossly negligent failure to act, or its own willful misconduct, except that:</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this paragraph does not limit the effect of paragraph (b) of this Section 7.01;</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Trustee will not be liable for any error of judgment made in good faith by a Responsible Officer; and</w:t>
      </w:r>
    </w:p>
    <w:p>
      <w:pPr>
        <w:spacing w:after="0" w:line="118" w:lineRule="exact"/>
        <w:rPr>
          <w:sz w:val="20"/>
          <w:szCs w:val="20"/>
          <w:color w:val="auto"/>
        </w:rPr>
      </w:pPr>
    </w:p>
    <w:p>
      <w:pPr>
        <w:ind w:left="420" w:firstLine="409"/>
        <w:spacing w:after="0" w:line="295" w:lineRule="auto"/>
        <w:rPr>
          <w:sz w:val="20"/>
          <w:szCs w:val="20"/>
          <w:color w:val="auto"/>
        </w:rPr>
      </w:pPr>
      <w:r>
        <w:rPr>
          <w:rFonts w:ascii="Times New Roman" w:cs="Times New Roman" w:eastAsia="Times New Roman" w:hAnsi="Times New Roman"/>
          <w:sz w:val="17"/>
          <w:szCs w:val="17"/>
          <w:color w:val="auto"/>
        </w:rPr>
        <w:t>(3)  the Trustee will not be liable with respect to any action it takes or omits to take in good faith in accordance with a direction received by it pursuant to Section 6.05 hereof.</w:t>
      </w:r>
    </w:p>
    <w:p>
      <w:pPr>
        <w:spacing w:after="0" w:line="147" w:lineRule="exact"/>
        <w:rPr>
          <w:sz w:val="20"/>
          <w:szCs w:val="20"/>
          <w:color w:val="auto"/>
        </w:rPr>
      </w:pPr>
    </w:p>
    <w:p>
      <w:pPr>
        <w:ind w:right="40" w:firstLine="426"/>
        <w:spacing w:after="0" w:line="295" w:lineRule="auto"/>
        <w:rPr>
          <w:sz w:val="20"/>
          <w:szCs w:val="20"/>
          <w:color w:val="auto"/>
        </w:rPr>
      </w:pPr>
      <w:r>
        <w:rPr>
          <w:rFonts w:ascii="Times New Roman" w:cs="Times New Roman" w:eastAsia="Times New Roman" w:hAnsi="Times New Roman"/>
          <w:sz w:val="17"/>
          <w:szCs w:val="17"/>
          <w:color w:val="auto"/>
        </w:rPr>
        <w:t>(d)  Whether or not therein expressly so provided, every provision of this Indenture that in any way relates to the Trustee is subject to paragraphs (a), (b), and (c) of this Section 7.01.</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   No provision of this Indenture will require the Trustee to expend or risk its own funds or incur any liability.</w:t>
      </w:r>
    </w:p>
    <w:p>
      <w:pPr>
        <w:spacing w:after="0" w:line="223" w:lineRule="exact"/>
        <w:rPr>
          <w:sz w:val="20"/>
          <w:szCs w:val="20"/>
          <w:color w:val="auto"/>
        </w:rPr>
      </w:pPr>
    </w:p>
    <w:p>
      <w:pPr>
        <w:ind w:right="120" w:firstLine="426"/>
        <w:spacing w:after="0" w:line="295" w:lineRule="auto"/>
        <w:rPr>
          <w:sz w:val="20"/>
          <w:szCs w:val="20"/>
          <w:color w:val="auto"/>
        </w:rPr>
      </w:pPr>
      <w:r>
        <w:rPr>
          <w:rFonts w:ascii="Times New Roman" w:cs="Times New Roman" w:eastAsia="Times New Roman" w:hAnsi="Times New Roman"/>
          <w:sz w:val="17"/>
          <w:szCs w:val="17"/>
          <w:color w:val="auto"/>
        </w:rPr>
        <w:t>(f)  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7.02   Rights of Trustee.</w:t>
      </w:r>
    </w:p>
    <w:p>
      <w:pPr>
        <w:spacing w:after="0" w:line="120" w:lineRule="exact"/>
        <w:rPr>
          <w:sz w:val="20"/>
          <w:szCs w:val="20"/>
          <w:color w:val="auto"/>
        </w:rPr>
      </w:pPr>
    </w:p>
    <w:p>
      <w:pPr>
        <w:ind w:right="460" w:firstLine="426"/>
        <w:spacing w:after="0" w:line="295" w:lineRule="auto"/>
        <w:rPr>
          <w:sz w:val="20"/>
          <w:szCs w:val="20"/>
          <w:color w:val="auto"/>
        </w:rPr>
      </w:pPr>
      <w:r>
        <w:rPr>
          <w:rFonts w:ascii="Times New Roman" w:cs="Times New Roman" w:eastAsia="Times New Roman" w:hAnsi="Times New Roman"/>
          <w:sz w:val="17"/>
          <w:szCs w:val="17"/>
          <w:color w:val="auto"/>
        </w:rPr>
        <w:t>(a)  The Trustee may conclusively rely upon any document believed by it to be genuine and to have been signed or presented by the proper Person. The Trustee need not investigate any fact or matter stated in the document.</w:t>
      </w:r>
    </w:p>
    <w:p>
      <w:pPr>
        <w:spacing w:after="0" w:line="147"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7"/>
          <w:szCs w:val="17"/>
          <w:color w:val="auto"/>
        </w:rPr>
        <w:t>(b)  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640"/>
          </w:cols>
          <w:pgMar w:left="620" w:top="265" w:right="639" w:bottom="1440" w:gutter="0" w:footer="0" w:header="0"/>
        </w:sectPr>
      </w:pPr>
    </w:p>
    <w:bookmarkStart w:id="341" w:name="page342"/>
    <w:bookmarkEnd w:id="341"/>
    <w:p>
      <w:pPr>
        <w:ind w:right="28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  The Trustee may act through its attorneys and agents and will not be responsible for the misconduct or negligence of any agent appointed with due care. The Trustee shall have no duty to monitor the performance of such agents.</w:t>
      </w:r>
    </w:p>
    <w:p>
      <w:pPr>
        <w:spacing w:after="0" w:line="147" w:lineRule="exact"/>
        <w:rPr>
          <w:sz w:val="20"/>
          <w:szCs w:val="20"/>
          <w:color w:val="auto"/>
        </w:rPr>
      </w:pPr>
    </w:p>
    <w:p>
      <w:pPr>
        <w:ind w:right="160" w:firstLine="426"/>
        <w:spacing w:after="0" w:line="269" w:lineRule="auto"/>
        <w:rPr>
          <w:sz w:val="20"/>
          <w:szCs w:val="20"/>
          <w:color w:val="auto"/>
        </w:rPr>
      </w:pPr>
      <w:r>
        <w:rPr>
          <w:rFonts w:ascii="Times New Roman" w:cs="Times New Roman" w:eastAsia="Times New Roman" w:hAnsi="Times New Roman"/>
          <w:sz w:val="17"/>
          <w:szCs w:val="17"/>
          <w:color w:val="auto"/>
        </w:rPr>
        <w:t>(d)  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and/or secured to its satisfaction, or which involves undue risk or would be contrary to applicable law or regulation.</w:t>
      </w:r>
    </w:p>
    <w:p>
      <w:pPr>
        <w:spacing w:after="0" w:line="169" w:lineRule="exact"/>
        <w:rPr>
          <w:sz w:val="20"/>
          <w:szCs w:val="20"/>
          <w:color w:val="auto"/>
        </w:rPr>
      </w:pPr>
    </w:p>
    <w:p>
      <w:pPr>
        <w:ind w:right="340" w:firstLine="426"/>
        <w:spacing w:after="0" w:line="295" w:lineRule="auto"/>
        <w:rPr>
          <w:sz w:val="20"/>
          <w:szCs w:val="20"/>
          <w:color w:val="auto"/>
        </w:rPr>
      </w:pPr>
      <w:r>
        <w:rPr>
          <w:rFonts w:ascii="Times New Roman" w:cs="Times New Roman" w:eastAsia="Times New Roman" w:hAnsi="Times New Roman"/>
          <w:sz w:val="17"/>
          <w:szCs w:val="17"/>
          <w:color w:val="auto"/>
        </w:rPr>
        <w:t>(e)  Unless otherwise specifically provided in this Indenture, any demand, request, direction or notice from the Company will be sufficient if signed by an Officer of the Company.</w:t>
      </w:r>
    </w:p>
    <w:p>
      <w:pPr>
        <w:spacing w:after="0" w:line="147" w:lineRule="exact"/>
        <w:rPr>
          <w:sz w:val="20"/>
          <w:szCs w:val="20"/>
          <w:color w:val="auto"/>
        </w:rPr>
      </w:pPr>
    </w:p>
    <w:p>
      <w:pPr>
        <w:ind w:right="60" w:firstLine="426"/>
        <w:spacing w:after="0" w:line="276" w:lineRule="auto"/>
        <w:rPr>
          <w:sz w:val="20"/>
          <w:szCs w:val="20"/>
          <w:color w:val="auto"/>
        </w:rPr>
      </w:pPr>
      <w:r>
        <w:rPr>
          <w:rFonts w:ascii="Times New Roman" w:cs="Times New Roman" w:eastAsia="Times New Roman" w:hAnsi="Times New Roman"/>
          <w:sz w:val="17"/>
          <w:szCs w:val="17"/>
          <w:color w:val="auto"/>
        </w:rPr>
        <w:t>(f)  The Trustee will be under no obligation to exercise any of the rights or powers vested in it by this Indenture at the request or direction of any of the Holders unless such Holders have offered to the Trustee indemnity and/or security satisfactory to the Trustee in its sole discretion against the losses, liabilities and expenses that might be incurred by it in compliance with such request or direction.</w:t>
      </w:r>
    </w:p>
    <w:p>
      <w:pPr>
        <w:spacing w:after="0" w:line="162"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(g)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pandemics, epidemics,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1" w:lineRule="exact"/>
        <w:rPr>
          <w:sz w:val="20"/>
          <w:szCs w:val="20"/>
          <w:color w:val="auto"/>
        </w:rPr>
      </w:pPr>
    </w:p>
    <w:p>
      <w:pPr>
        <w:ind w:right="200" w:firstLine="426"/>
        <w:spacing w:after="0" w:line="295" w:lineRule="auto"/>
        <w:rPr>
          <w:sz w:val="20"/>
          <w:szCs w:val="20"/>
          <w:color w:val="auto"/>
        </w:rPr>
      </w:pPr>
      <w:r>
        <w:rPr>
          <w:rFonts w:ascii="Times New Roman" w:cs="Times New Roman" w:eastAsia="Times New Roman" w:hAnsi="Times New Roman"/>
          <w:sz w:val="17"/>
          <w:szCs w:val="17"/>
          <w:color w:val="auto"/>
        </w:rPr>
        <w:t>(h)  The recitals contained herein and in the Notes are made by the Company and not by the Trustee, and the Trustee assumes no responsibility for the correctness thereof. The Trustee makes no representation as to the validity or sufficiency of this Indenture or the Notes.</w:t>
      </w:r>
    </w:p>
    <w:p>
      <w:pPr>
        <w:spacing w:after="0" w:line="147" w:lineRule="exact"/>
        <w:rPr>
          <w:sz w:val="20"/>
          <w:szCs w:val="20"/>
          <w:color w:val="auto"/>
        </w:rPr>
      </w:pPr>
    </w:p>
    <w:p>
      <w:pPr>
        <w:ind w:right="40" w:firstLine="426"/>
        <w:spacing w:after="0" w:line="266" w:lineRule="auto"/>
        <w:rPr>
          <w:sz w:val="20"/>
          <w:szCs w:val="20"/>
          <w:color w:val="auto"/>
        </w:rPr>
      </w:pPr>
      <w:r>
        <w:rPr>
          <w:rFonts w:ascii="Times New Roman" w:cs="Times New Roman" w:eastAsia="Times New Roman" w:hAnsi="Times New Roman"/>
          <w:sz w:val="17"/>
          <w:szCs w:val="17"/>
          <w:color w:val="auto"/>
        </w:rPr>
        <w:t>(i)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71" w:lineRule="exact"/>
        <w:rPr>
          <w:sz w:val="20"/>
          <w:szCs w:val="20"/>
          <w:color w:val="auto"/>
        </w:rPr>
      </w:pPr>
    </w:p>
    <w:p>
      <w:pPr>
        <w:jc w:val="both"/>
        <w:ind w:right="20" w:firstLine="426"/>
        <w:spacing w:after="0" w:line="276" w:lineRule="auto"/>
        <w:rPr>
          <w:sz w:val="20"/>
          <w:szCs w:val="20"/>
          <w:color w:val="auto"/>
        </w:rPr>
      </w:pPr>
      <w:r>
        <w:rPr>
          <w:rFonts w:ascii="Times New Roman" w:cs="Times New Roman" w:eastAsia="Times New Roman" w:hAnsi="Times New Roman"/>
          <w:sz w:val="17"/>
          <w:szCs w:val="17"/>
          <w:color w:val="auto"/>
        </w:rPr>
        <w:t>(j)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62" w:lineRule="exact"/>
        <w:rPr>
          <w:sz w:val="20"/>
          <w:szCs w:val="20"/>
          <w:color w:val="auto"/>
        </w:rPr>
      </w:pPr>
    </w:p>
    <w:p>
      <w:pPr>
        <w:ind w:right="1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(k)  The rights, privileges, indemnity, protections, immunities and benefits given to the Trustee, including, without limitation, its right to be indemnified and/or secured, are extended to, and shall be enforceable by, the Trustee in each of its capacities hereunder, and each agent, custodian and other Person employed to act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any such agent or custodian shall not be deemed to be a fiduciary;</w:t>
      </w:r>
    </w:p>
    <w:p>
      <w:pPr>
        <w:spacing w:after="0" w:line="162" w:lineRule="exact"/>
        <w:rPr>
          <w:sz w:val="20"/>
          <w:szCs w:val="20"/>
          <w:color w:val="auto"/>
        </w:rPr>
      </w:pPr>
    </w:p>
    <w:p>
      <w:pPr>
        <w:ind w:right="280" w:firstLine="426"/>
        <w:spacing w:after="0" w:line="295" w:lineRule="auto"/>
        <w:rPr>
          <w:sz w:val="20"/>
          <w:szCs w:val="20"/>
          <w:color w:val="auto"/>
        </w:rPr>
      </w:pPr>
      <w:r>
        <w:rPr>
          <w:rFonts w:ascii="Times New Roman" w:cs="Times New Roman" w:eastAsia="Times New Roman" w:hAnsi="Times New Roman"/>
          <w:sz w:val="17"/>
          <w:szCs w:val="17"/>
          <w:color w:val="auto"/>
        </w:rPr>
        <w:t>(l)  The Trustee may request that the Company deliver a certificate setting forth the names of individuals and/or titles of officers authorized at such time to take specified actions pursuant to this Indenture;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640"/>
          </w:cols>
          <w:pgMar w:left="620" w:top="265" w:right="639" w:bottom="1440" w:gutter="0" w:footer="0" w:header="0"/>
        </w:sectPr>
      </w:pPr>
    </w:p>
    <w:bookmarkStart w:id="342" w:name="page343"/>
    <w:bookmarkEnd w:id="342"/>
    <w:p>
      <w:pPr>
        <w:ind w:right="80" w:firstLine="42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  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171" w:lineRule="exact"/>
        <w:rPr>
          <w:sz w:val="20"/>
          <w:szCs w:val="20"/>
          <w:color w:val="auto"/>
        </w:rPr>
      </w:pPr>
    </w:p>
    <w:p>
      <w:pPr>
        <w:ind w:firstLine="426"/>
        <w:spacing w:after="0" w:line="295" w:lineRule="auto"/>
        <w:rPr>
          <w:sz w:val="20"/>
          <w:szCs w:val="20"/>
          <w:color w:val="auto"/>
        </w:rPr>
      </w:pPr>
      <w:r>
        <w:rPr>
          <w:rFonts w:ascii="Times New Roman" w:cs="Times New Roman" w:eastAsia="Times New Roman" w:hAnsi="Times New Roman"/>
          <w:sz w:val="17"/>
          <w:szCs w:val="17"/>
          <w:color w:val="auto"/>
        </w:rPr>
        <w:t>(n)  If the Trustee shall be uncertain as to its duties or rights hereunder, it shall be entitled to refrain from taking action until directed in writing by a final order or judgment of a court of competent jurisdiction.</w:t>
      </w:r>
    </w:p>
    <w:p>
      <w:pPr>
        <w:spacing w:after="0" w:line="147" w:lineRule="exact"/>
        <w:rPr>
          <w:sz w:val="20"/>
          <w:szCs w:val="20"/>
          <w:color w:val="auto"/>
        </w:rPr>
      </w:pPr>
    </w:p>
    <w:p>
      <w:pPr>
        <w:ind w:right="40" w:firstLine="426"/>
        <w:spacing w:after="0" w:line="269" w:lineRule="auto"/>
        <w:rPr>
          <w:sz w:val="20"/>
          <w:szCs w:val="20"/>
          <w:color w:val="auto"/>
        </w:rPr>
      </w:pPr>
      <w:r>
        <w:rPr>
          <w:rFonts w:ascii="Times New Roman" w:cs="Times New Roman" w:eastAsia="Times New Roman" w:hAnsi="Times New Roman"/>
          <w:sz w:val="17"/>
          <w:szCs w:val="17"/>
          <w:color w:val="auto"/>
        </w:rPr>
        <w:t>(o)  If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to take and shall not incur any liability for its failure to act until such inconsistency or conflict is, in its sole opinion, resolved.</w:t>
      </w:r>
    </w:p>
    <w:p>
      <w:pPr>
        <w:spacing w:after="0" w:line="169" w:lineRule="exact"/>
        <w:rPr>
          <w:sz w:val="20"/>
          <w:szCs w:val="20"/>
          <w:color w:val="auto"/>
        </w:rPr>
      </w:pPr>
    </w:p>
    <w:p>
      <w:pPr>
        <w:ind w:right="40" w:firstLine="426"/>
        <w:spacing w:after="0" w:line="269" w:lineRule="auto"/>
        <w:rPr>
          <w:sz w:val="20"/>
          <w:szCs w:val="20"/>
          <w:color w:val="auto"/>
        </w:rPr>
      </w:pPr>
      <w:r>
        <w:rPr>
          <w:rFonts w:ascii="Times New Roman" w:cs="Times New Roman" w:eastAsia="Times New Roman" w:hAnsi="Times New Roman"/>
          <w:sz w:val="17"/>
          <w:szCs w:val="17"/>
          <w:color w:val="auto"/>
        </w:rPr>
        <w:t>(p)  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169" w:lineRule="exact"/>
        <w:rPr>
          <w:sz w:val="20"/>
          <w:szCs w:val="20"/>
          <w:color w:val="auto"/>
        </w:rPr>
      </w:pPr>
    </w:p>
    <w:p>
      <w:pPr>
        <w:ind w:right="120" w:firstLine="426"/>
        <w:spacing w:after="0" w:line="269" w:lineRule="auto"/>
        <w:rPr>
          <w:sz w:val="20"/>
          <w:szCs w:val="20"/>
          <w:color w:val="auto"/>
        </w:rPr>
      </w:pPr>
      <w:r>
        <w:rPr>
          <w:rFonts w:ascii="Times New Roman" w:cs="Times New Roman" w:eastAsia="Times New Roman" w:hAnsi="Times New Roman"/>
          <w:sz w:val="17"/>
          <w:szCs w:val="17"/>
          <w:color w:val="auto"/>
        </w:rPr>
        <w:t>(q)  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169" w:lineRule="exact"/>
        <w:rPr>
          <w:sz w:val="20"/>
          <w:szCs w:val="20"/>
          <w:color w:val="auto"/>
        </w:rPr>
      </w:pPr>
    </w:p>
    <w:p>
      <w:pPr>
        <w:jc w:val="both"/>
        <w:ind w:right="40" w:firstLine="426"/>
        <w:spacing w:after="0" w:line="276" w:lineRule="auto"/>
        <w:rPr>
          <w:sz w:val="20"/>
          <w:szCs w:val="20"/>
          <w:color w:val="auto"/>
        </w:rPr>
      </w:pPr>
      <w:r>
        <w:rPr>
          <w:rFonts w:ascii="Times New Roman" w:cs="Times New Roman" w:eastAsia="Times New Roman" w:hAnsi="Times New Roman"/>
          <w:sz w:val="17"/>
          <w:szCs w:val="17"/>
          <w:color w:val="auto"/>
        </w:rPr>
        <w:t>(r)  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62" w:lineRule="exact"/>
        <w:rPr>
          <w:sz w:val="20"/>
          <w:szCs w:val="20"/>
          <w:color w:val="auto"/>
        </w:rPr>
      </w:pPr>
    </w:p>
    <w:p>
      <w:pPr>
        <w:ind w:right="180" w:firstLine="426"/>
        <w:spacing w:after="0" w:line="269" w:lineRule="auto"/>
        <w:rPr>
          <w:sz w:val="20"/>
          <w:szCs w:val="20"/>
          <w:color w:val="auto"/>
        </w:rPr>
      </w:pPr>
      <w:r>
        <w:rPr>
          <w:rFonts w:ascii="Times New Roman" w:cs="Times New Roman" w:eastAsia="Times New Roman" w:hAnsi="Times New Roman"/>
          <w:sz w:val="17"/>
          <w:szCs w:val="17"/>
          <w:color w:val="auto"/>
        </w:rPr>
        <w:t>(s)  The Trustee shall have no duty to inquire as to the performance of the covenants of the Company.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169" w:lineRule="exact"/>
        <w:rPr>
          <w:sz w:val="20"/>
          <w:szCs w:val="20"/>
          <w:color w:val="auto"/>
        </w:rPr>
      </w:pPr>
    </w:p>
    <w:p>
      <w:pPr>
        <w:ind w:right="60" w:firstLine="426"/>
        <w:spacing w:after="0" w:line="269" w:lineRule="auto"/>
        <w:rPr>
          <w:sz w:val="20"/>
          <w:szCs w:val="20"/>
          <w:color w:val="auto"/>
        </w:rPr>
      </w:pPr>
      <w:r>
        <w:rPr>
          <w:rFonts w:ascii="Times New Roman" w:cs="Times New Roman" w:eastAsia="Times New Roman" w:hAnsi="Times New Roman"/>
          <w:sz w:val="17"/>
          <w:szCs w:val="17"/>
          <w:color w:val="auto"/>
        </w:rPr>
        <w:t>(t)  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Global Notes.</w:t>
      </w:r>
    </w:p>
    <w:p>
      <w:pPr>
        <w:spacing w:after="0" w:line="169" w:lineRule="exact"/>
        <w:rPr>
          <w:sz w:val="20"/>
          <w:szCs w:val="20"/>
          <w:color w:val="auto"/>
        </w:rPr>
      </w:pPr>
    </w:p>
    <w:p>
      <w:pPr>
        <w:ind w:right="380" w:firstLine="426"/>
        <w:spacing w:after="0" w:line="276" w:lineRule="auto"/>
        <w:rPr>
          <w:sz w:val="20"/>
          <w:szCs w:val="20"/>
          <w:color w:val="auto"/>
        </w:rPr>
      </w:pPr>
      <w:r>
        <w:rPr>
          <w:rFonts w:ascii="Times New Roman" w:cs="Times New Roman" w:eastAsia="Times New Roman" w:hAnsi="Times New Roman"/>
          <w:sz w:val="17"/>
          <w:szCs w:val="17"/>
          <w:color w:val="auto"/>
        </w:rPr>
        <w:t>(u)  The Trustee may assume without inquiry in the absence of actual knowledge that the Company is duly complying with its obligations contained in this Indenture required to be performed and observed by it, and that no Default or Event of Default or other event which would require repayment of the Notes has occurred.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660"/>
          </w:cols>
          <w:pgMar w:left="620" w:top="265" w:right="619" w:bottom="1440" w:gutter="0" w:footer="0" w:header="0"/>
        </w:sectPr>
      </w:pPr>
    </w:p>
    <w:bookmarkStart w:id="343" w:name="page344"/>
    <w:bookmarkEnd w:id="343"/>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7.03 [Intentionally Omitted.]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7.04   Individual Rights of Trustee.</w:t>
      </w:r>
    </w:p>
    <w:p>
      <w:pPr>
        <w:spacing w:after="0" w:line="120" w:lineRule="exact"/>
        <w:rPr>
          <w:sz w:val="20"/>
          <w:szCs w:val="20"/>
          <w:color w:val="auto"/>
        </w:rPr>
      </w:pPr>
    </w:p>
    <w:p>
      <w:pPr>
        <w:ind w:right="140" w:firstLine="426"/>
        <w:spacing w:after="0" w:line="295" w:lineRule="auto"/>
        <w:rPr>
          <w:sz w:val="20"/>
          <w:szCs w:val="20"/>
          <w:color w:val="auto"/>
        </w:rPr>
      </w:pPr>
      <w:r>
        <w:rPr>
          <w:rFonts w:ascii="Times New Roman" w:cs="Times New Roman" w:eastAsia="Times New Roman" w:hAnsi="Times New Roman"/>
          <w:sz w:val="17"/>
          <w:szCs w:val="17"/>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7.05   Trustee’s Disclaimer.</w:t>
      </w:r>
    </w:p>
    <w:p>
      <w:pPr>
        <w:spacing w:after="0" w:line="120"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The Trustee shall not be deemed to be required to calculate any Treasury Rates, Additional Amounts, any make-whole amount, any coverage ratio, or otherwise.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7.06   Notice of Defaults.</w:t>
      </w:r>
    </w:p>
    <w:p>
      <w:pPr>
        <w:spacing w:after="0" w:line="120" w:lineRule="exact"/>
        <w:rPr>
          <w:sz w:val="20"/>
          <w:szCs w:val="20"/>
          <w:color w:val="auto"/>
        </w:rPr>
      </w:pPr>
    </w:p>
    <w:p>
      <w:pPr>
        <w:ind w:right="60" w:firstLine="426"/>
        <w:spacing w:after="0" w:line="269" w:lineRule="auto"/>
        <w:rPr>
          <w:sz w:val="20"/>
          <w:szCs w:val="20"/>
          <w:color w:val="auto"/>
        </w:rPr>
      </w:pPr>
      <w:r>
        <w:rPr>
          <w:rFonts w:ascii="Times New Roman" w:cs="Times New Roman" w:eastAsia="Times New Roman" w:hAnsi="Times New Roman"/>
          <w:sz w:val="17"/>
          <w:szCs w:val="17"/>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7.07   [Intentionally Omitted.]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7.08   Compensation and Indemnity.</w:t>
      </w:r>
    </w:p>
    <w:p>
      <w:pPr>
        <w:spacing w:after="0" w:line="120" w:lineRule="exact"/>
        <w:rPr>
          <w:sz w:val="20"/>
          <w:szCs w:val="20"/>
          <w:color w:val="auto"/>
        </w:rPr>
      </w:pPr>
    </w:p>
    <w:p>
      <w:pPr>
        <w:ind w:right="80" w:firstLine="426"/>
        <w:spacing w:after="0" w:line="266" w:lineRule="auto"/>
        <w:rPr>
          <w:sz w:val="20"/>
          <w:szCs w:val="20"/>
          <w:color w:val="auto"/>
        </w:rPr>
      </w:pPr>
      <w:r>
        <w:rPr>
          <w:rFonts w:ascii="Times New Roman" w:cs="Times New Roman" w:eastAsia="Times New Roman" w:hAnsi="Times New Roman"/>
          <w:sz w:val="17"/>
          <w:szCs w:val="17"/>
          <w:color w:val="auto"/>
        </w:rPr>
        <w:t>(a)  The Company will pay to the Trustee from time to time reasonable compensation for its acceptance of this Indenture and services hereunder pursuant to a written fee agreement executed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171"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7"/>
          <w:szCs w:val="17"/>
          <w:color w:val="auto"/>
        </w:rPr>
        <w:t>(b)  The Company will indemnify the Trustee (which for purposes of this Section 7.08, shall be deemed to include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(including this Section 7.08) and defending itself against any claim (whether asserted by the Company, any Holder or any other Person) or liability in connection with the exercise or performance of any of its powers or duties hereunder, except to the extent any such loss, liability or expense may be attributable solely to its gross negligence, willful misconduct or fraud by a court of competent jurisdiction in a final non-appealable order.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shall not need to pay for any settlement made without its consent, which consent will not be unreasonably withheld.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620"/>
          </w:cols>
          <w:pgMar w:left="620" w:top="263" w:right="659" w:bottom="1440" w:gutter="0" w:footer="0" w:header="0"/>
        </w:sectPr>
      </w:pPr>
    </w:p>
    <w:bookmarkStart w:id="344" w:name="page345"/>
    <w:bookmarkEnd w:id="344"/>
    <w:p>
      <w:pPr>
        <w:jc w:val="both"/>
        <w:ind w:right="14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(c)  The obligations of the Company under this Section 7.08 will survive the satisfaction and discharge of this Indenture, and the resignation or removal of the Trustee and/or any Agent, but only in relation to anything done or omitted to be done by such Trustee and/or any such Agent on or prior to such resignation or removal.</w:t>
      </w:r>
    </w:p>
    <w:p>
      <w:pPr>
        <w:spacing w:after="0" w:line="162" w:lineRule="exact"/>
        <w:rPr>
          <w:sz w:val="20"/>
          <w:szCs w:val="20"/>
          <w:color w:val="auto"/>
        </w:rPr>
      </w:pPr>
    </w:p>
    <w:p>
      <w:pPr>
        <w:ind w:right="180" w:firstLine="426"/>
        <w:spacing w:after="0" w:line="276" w:lineRule="auto"/>
        <w:rPr>
          <w:sz w:val="20"/>
          <w:szCs w:val="20"/>
          <w:color w:val="auto"/>
        </w:rPr>
      </w:pPr>
      <w:r>
        <w:rPr>
          <w:rFonts w:ascii="Times New Roman" w:cs="Times New Roman" w:eastAsia="Times New Roman" w:hAnsi="Times New Roman"/>
          <w:sz w:val="17"/>
          <w:szCs w:val="17"/>
          <w:color w:val="auto"/>
        </w:rPr>
        <w:t>(d)  To secure the Company’s payment obligations in this Section 7.08, the Trustee will have a Lien prior to the Notes on all money or property held or collected by the Trustee, except that held in trust to pay principal and interest on particular Notes. Such Lien will survive the satisfaction and discharge of this Indenture.</w:t>
      </w:r>
    </w:p>
    <w:p>
      <w:pPr>
        <w:spacing w:after="0" w:line="162" w:lineRule="exact"/>
        <w:rPr>
          <w:sz w:val="20"/>
          <w:szCs w:val="20"/>
          <w:color w:val="auto"/>
        </w:rPr>
      </w:pPr>
    </w:p>
    <w:p>
      <w:pPr>
        <w:ind w:right="220" w:firstLine="426"/>
        <w:spacing w:after="0" w:line="276" w:lineRule="auto"/>
        <w:rPr>
          <w:sz w:val="20"/>
          <w:szCs w:val="20"/>
          <w:color w:val="auto"/>
        </w:rPr>
      </w:pPr>
      <w:r>
        <w:rPr>
          <w:rFonts w:ascii="Times New Roman" w:cs="Times New Roman" w:eastAsia="Times New Roman" w:hAnsi="Times New Roman"/>
          <w:sz w:val="17"/>
          <w:szCs w:val="17"/>
          <w:color w:val="auto"/>
        </w:rPr>
        <w:t>(e)  When the Trustee incurs expenses or renders services after an Event of Default specified in Section 6.01(a)(8) or Section 6.01(a)(9) hereof occurs, the expenses and the compensation for the services (including the fees and expenses of its agents and counsel) are intended to constitute expenses of administration under any Bankruptcy Law.</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7.09   Replacement of Trustee.</w:t>
      </w:r>
    </w:p>
    <w:p>
      <w:pPr>
        <w:spacing w:after="0" w:line="120" w:lineRule="exact"/>
        <w:rPr>
          <w:sz w:val="20"/>
          <w:szCs w:val="20"/>
          <w:color w:val="auto"/>
        </w:rPr>
      </w:pPr>
    </w:p>
    <w:p>
      <w:pPr>
        <w:ind w:right="400" w:firstLine="426"/>
        <w:spacing w:after="0" w:line="295" w:lineRule="auto"/>
        <w:rPr>
          <w:sz w:val="20"/>
          <w:szCs w:val="20"/>
          <w:color w:val="auto"/>
        </w:rPr>
      </w:pPr>
      <w:r>
        <w:rPr>
          <w:rFonts w:ascii="Times New Roman" w:cs="Times New Roman" w:eastAsia="Times New Roman" w:hAnsi="Times New Roman"/>
          <w:sz w:val="17"/>
          <w:szCs w:val="17"/>
          <w:color w:val="auto"/>
        </w:rPr>
        <w:t>(a)  A resignation or removal of the Trustee and appointment of a successor Trustee will become effective only upon the successor Trustee’s acceptance of appointment as provided in this Section 7.09.</w:t>
      </w:r>
    </w:p>
    <w:p>
      <w:pPr>
        <w:spacing w:after="0" w:line="147" w:lineRule="exact"/>
        <w:rPr>
          <w:sz w:val="20"/>
          <w:szCs w:val="20"/>
          <w:color w:val="auto"/>
        </w:rPr>
      </w:pPr>
    </w:p>
    <w:p>
      <w:pPr>
        <w:jc w:val="both"/>
        <w:ind w:right="60" w:firstLine="426"/>
        <w:spacing w:after="0" w:line="276" w:lineRule="auto"/>
        <w:rPr>
          <w:sz w:val="20"/>
          <w:szCs w:val="20"/>
          <w:color w:val="auto"/>
        </w:rPr>
      </w:pPr>
      <w:r>
        <w:rPr>
          <w:rFonts w:ascii="Times New Roman" w:cs="Times New Roman" w:eastAsia="Times New Roman" w:hAnsi="Times New Roman"/>
          <w:sz w:val="17"/>
          <w:szCs w:val="17"/>
          <w:color w:val="auto"/>
        </w:rPr>
        <w:t>(b)  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the Trustee fails to comply with Section 7.11 hereof;</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Trustee is adjudged a bankrupt or an insolvent or an order for relief is entered with respect to the Trustee under any Bankruptcy</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Law;</w:t>
      </w:r>
    </w:p>
    <w:p>
      <w:pPr>
        <w:spacing w:after="0" w:line="1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a custodian or public officer takes charge of the Trustee or its property; or</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the Trustee becomes incapable of acting.</w:t>
      </w:r>
    </w:p>
    <w:p>
      <w:pPr>
        <w:spacing w:after="0" w:line="223" w:lineRule="exact"/>
        <w:rPr>
          <w:sz w:val="20"/>
          <w:szCs w:val="20"/>
          <w:color w:val="auto"/>
        </w:rPr>
      </w:pPr>
    </w:p>
    <w:p>
      <w:pPr>
        <w:jc w:val="both"/>
        <w:ind w:right="520" w:firstLine="426"/>
        <w:spacing w:after="0" w:line="276" w:lineRule="auto"/>
        <w:rPr>
          <w:sz w:val="20"/>
          <w:szCs w:val="20"/>
          <w:color w:val="auto"/>
        </w:rPr>
      </w:pPr>
      <w:r>
        <w:rPr>
          <w:rFonts w:ascii="Times New Roman" w:cs="Times New Roman" w:eastAsia="Times New Roman" w:hAnsi="Times New Roman"/>
          <w:sz w:val="17"/>
          <w:szCs w:val="17"/>
          <w:color w:val="auto"/>
        </w:rPr>
        <w:t>(c)  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162" w:lineRule="exact"/>
        <w:rPr>
          <w:sz w:val="20"/>
          <w:szCs w:val="20"/>
          <w:color w:val="auto"/>
        </w:rPr>
      </w:pPr>
    </w:p>
    <w:p>
      <w:pPr>
        <w:ind w:right="240" w:firstLine="426"/>
        <w:spacing w:after="0" w:line="276" w:lineRule="auto"/>
        <w:rPr>
          <w:sz w:val="20"/>
          <w:szCs w:val="20"/>
          <w:color w:val="auto"/>
        </w:rPr>
      </w:pPr>
      <w:r>
        <w:rPr>
          <w:rFonts w:ascii="Times New Roman" w:cs="Times New Roman" w:eastAsia="Times New Roman" w:hAnsi="Times New Roman"/>
          <w:sz w:val="17"/>
          <w:szCs w:val="17"/>
          <w:color w:val="auto"/>
        </w:rPr>
        <w:t>(d)  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162" w:lineRule="exact"/>
        <w:rPr>
          <w:sz w:val="20"/>
          <w:szCs w:val="20"/>
          <w:color w:val="auto"/>
        </w:rPr>
      </w:pPr>
    </w:p>
    <w:p>
      <w:pPr>
        <w:ind w:right="260" w:firstLine="426"/>
        <w:spacing w:after="0" w:line="295" w:lineRule="auto"/>
        <w:rPr>
          <w:sz w:val="20"/>
          <w:szCs w:val="20"/>
          <w:color w:val="auto"/>
        </w:rPr>
      </w:pPr>
      <w:r>
        <w:rPr>
          <w:rFonts w:ascii="Times New Roman" w:cs="Times New Roman" w:eastAsia="Times New Roman" w:hAnsi="Times New Roman"/>
          <w:sz w:val="17"/>
          <w:szCs w:val="17"/>
          <w:color w:val="auto"/>
        </w:rPr>
        <w:t>(e)  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147"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 xml:space="preserve">(f)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deliver a notice of its succession to Holders. The retiring Trustee will promptly transfer all property held by it as Trustee to the successor Trustee;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660"/>
          </w:cols>
          <w:pgMar w:left="620" w:top="264" w:right="619" w:bottom="1440" w:gutter="0" w:footer="0" w:header="0"/>
        </w:sectPr>
      </w:pPr>
    </w:p>
    <w:bookmarkStart w:id="345" w:name="page346"/>
    <w:bookmarkEnd w:id="345"/>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Section 7.10   Successor Trustee by Merger, etc.</w:t>
      </w:r>
    </w:p>
    <w:p>
      <w:pPr>
        <w:spacing w:after="0" w:line="120" w:lineRule="exact"/>
        <w:rPr>
          <w:sz w:val="20"/>
          <w:szCs w:val="20"/>
          <w:color w:val="auto"/>
        </w:rPr>
      </w:pPr>
    </w:p>
    <w:p>
      <w:pPr>
        <w:ind w:right="240" w:firstLine="426"/>
        <w:spacing w:after="0" w:line="295" w:lineRule="auto"/>
        <w:rPr>
          <w:sz w:val="20"/>
          <w:szCs w:val="20"/>
          <w:color w:val="auto"/>
        </w:rPr>
      </w:pPr>
      <w:r>
        <w:rPr>
          <w:rFonts w:ascii="Times New Roman" w:cs="Times New Roman" w:eastAsia="Times New Roman" w:hAnsi="Times New Roman"/>
          <w:sz w:val="17"/>
          <w:szCs w:val="17"/>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7.11   Eligibility; Disqualification.</w:t>
      </w:r>
    </w:p>
    <w:p>
      <w:pPr>
        <w:spacing w:after="0" w:line="120"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7"/>
          <w:szCs w:val="17"/>
          <w:color w:val="auto"/>
        </w:rPr>
        <w:t>There will at all times be a Trustee hereunder that is a corporation organized and doing business under the laws of the United States of America or of any state thereof, the United Kingdom or Hong Kong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this Indenture.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7.12   Appointment of Co-Trustee.</w:t>
      </w:r>
    </w:p>
    <w:p>
      <w:pPr>
        <w:spacing w:after="0" w:line="225" w:lineRule="exact"/>
        <w:rPr>
          <w:sz w:val="20"/>
          <w:szCs w:val="20"/>
          <w:color w:val="auto"/>
        </w:rPr>
      </w:pPr>
    </w:p>
    <w:p>
      <w:pPr>
        <w:ind w:right="140" w:firstLine="426"/>
        <w:spacing w:after="0" w:line="264" w:lineRule="auto"/>
        <w:rPr>
          <w:sz w:val="20"/>
          <w:szCs w:val="20"/>
          <w:color w:val="auto"/>
        </w:rPr>
      </w:pPr>
      <w:r>
        <w:rPr>
          <w:rFonts w:ascii="Times New Roman" w:cs="Times New Roman" w:eastAsia="Times New Roman" w:hAnsi="Times New Roman"/>
          <w:sz w:val="17"/>
          <w:szCs w:val="17"/>
          <w:color w:val="auto"/>
        </w:rPr>
        <w:t>(a)  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and no notice to the Holders of the appointment of any co-trustee or separate trustee shall be required.</w:t>
      </w:r>
    </w:p>
    <w:p>
      <w:pPr>
        <w:spacing w:after="0" w:line="173" w:lineRule="exact"/>
        <w:rPr>
          <w:sz w:val="20"/>
          <w:szCs w:val="20"/>
          <w:color w:val="auto"/>
        </w:rPr>
      </w:pPr>
    </w:p>
    <w:p>
      <w:pPr>
        <w:ind w:right="480" w:firstLine="426"/>
        <w:spacing w:after="0" w:line="295" w:lineRule="auto"/>
        <w:rPr>
          <w:sz w:val="20"/>
          <w:szCs w:val="20"/>
          <w:color w:val="auto"/>
        </w:rPr>
      </w:pPr>
      <w:r>
        <w:rPr>
          <w:rFonts w:ascii="Times New Roman" w:cs="Times New Roman" w:eastAsia="Times New Roman" w:hAnsi="Times New Roman"/>
          <w:sz w:val="17"/>
          <w:szCs w:val="17"/>
          <w:color w:val="auto"/>
        </w:rPr>
        <w:t>(b)  Every separate trustee and co-trustee shall, to the extent permitted by law, be appointed and act subject to the following provisions and conditions:</w:t>
      </w:r>
    </w:p>
    <w:p>
      <w:pPr>
        <w:spacing w:after="0" w:line="42" w:lineRule="exact"/>
        <w:rPr>
          <w:sz w:val="20"/>
          <w:szCs w:val="20"/>
          <w:color w:val="auto"/>
        </w:rPr>
      </w:pPr>
    </w:p>
    <w:p>
      <w:pPr>
        <w:ind w:left="420" w:right="160" w:firstLine="409"/>
        <w:spacing w:after="0" w:line="265" w:lineRule="auto"/>
        <w:rPr>
          <w:sz w:val="20"/>
          <w:szCs w:val="20"/>
          <w:color w:val="auto"/>
        </w:rPr>
      </w:pPr>
      <w:r>
        <w:rPr>
          <w:rFonts w:ascii="Times New Roman" w:cs="Times New Roman" w:eastAsia="Times New Roman" w:hAnsi="Times New Roman"/>
          <w:sz w:val="17"/>
          <w:szCs w:val="17"/>
          <w:color w:val="auto"/>
        </w:rPr>
        <w:t>(1)  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2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No trustee hereunder shall be personally liable by reason of any act or omission of any other trustee hereunder; and</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(3)   The Trustee may at any time accept the resignation of or remove any separate trustee or co-trustee.</w:t>
      </w:r>
    </w:p>
    <w:p>
      <w:pPr>
        <w:spacing w:after="0" w:line="223"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(c)  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660"/>
          </w:cols>
          <w:pgMar w:left="620" w:top="262" w:right="619" w:bottom="1440" w:gutter="0" w:footer="0" w:header="0"/>
        </w:sectPr>
      </w:pPr>
    </w:p>
    <w:bookmarkStart w:id="346" w:name="page347"/>
    <w:bookmarkEnd w:id="346"/>
    <w:p>
      <w:pPr>
        <w:ind w:right="60" w:firstLine="426"/>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  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7.13 [Intentionally Omitted].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7.14   Resignation of Agents.</w:t>
      </w:r>
    </w:p>
    <w:p>
      <w:pPr>
        <w:spacing w:after="0" w:line="120" w:lineRule="exact"/>
        <w:rPr>
          <w:sz w:val="20"/>
          <w:szCs w:val="20"/>
          <w:color w:val="auto"/>
        </w:rPr>
      </w:pPr>
    </w:p>
    <w:p>
      <w:pPr>
        <w:ind w:firstLine="426"/>
        <w:spacing w:after="0" w:line="260" w:lineRule="auto"/>
        <w:rPr>
          <w:sz w:val="20"/>
          <w:szCs w:val="20"/>
          <w:color w:val="auto"/>
        </w:rPr>
      </w:pPr>
      <w:r>
        <w:rPr>
          <w:rFonts w:ascii="Times New Roman" w:cs="Times New Roman" w:eastAsia="Times New Roman" w:hAnsi="Times New Roman"/>
          <w:sz w:val="17"/>
          <w:szCs w:val="17"/>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appointment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properly incurred by the Agent in connection with such court proceedings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7.15   Rights of Trustee in Other Roles.</w:t>
      </w:r>
    </w:p>
    <w:p>
      <w:pPr>
        <w:spacing w:after="0" w:line="118" w:lineRule="exact"/>
        <w:rPr>
          <w:sz w:val="20"/>
          <w:szCs w:val="20"/>
          <w:color w:val="auto"/>
        </w:rPr>
      </w:pPr>
    </w:p>
    <w:p>
      <w:pPr>
        <w:ind w:right="440" w:firstLine="426"/>
        <w:spacing w:after="0" w:line="298" w:lineRule="auto"/>
        <w:rPr>
          <w:sz w:val="20"/>
          <w:szCs w:val="20"/>
          <w:color w:val="auto"/>
        </w:rPr>
      </w:pPr>
      <w:r>
        <w:rPr>
          <w:rFonts w:ascii="Times New Roman" w:cs="Times New Roman" w:eastAsia="Times New Roman" w:hAnsi="Times New Roman"/>
          <w:sz w:val="17"/>
          <w:szCs w:val="17"/>
          <w:color w:val="auto"/>
        </w:rPr>
        <w:t xml:space="preserve">All rights, powers and indemnities contained in this Article 7 shall apply to the Trustee in its other roles hereunder and the Agents;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each Agent is an agent and not a fiduciary.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LEGAL DEFEASANCE AND COVENANT DEFEASANCE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8.01   Option to Effect Legal Defeasance or Covenant Defeasance.</w:t>
      </w:r>
    </w:p>
    <w:p>
      <w:pPr>
        <w:spacing w:after="0" w:line="120" w:lineRule="exact"/>
        <w:rPr>
          <w:sz w:val="20"/>
          <w:szCs w:val="20"/>
          <w:color w:val="auto"/>
        </w:rPr>
      </w:pPr>
    </w:p>
    <w:p>
      <w:pPr>
        <w:ind w:right="140" w:firstLine="426"/>
        <w:spacing w:after="0" w:line="295" w:lineRule="auto"/>
        <w:rPr>
          <w:sz w:val="20"/>
          <w:szCs w:val="20"/>
          <w:color w:val="auto"/>
        </w:rPr>
      </w:pPr>
      <w:r>
        <w:rPr>
          <w:rFonts w:ascii="Times New Roman" w:cs="Times New Roman" w:eastAsia="Times New Roman" w:hAnsi="Times New Roman"/>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8.02   Legal Defeasance and Discharge.</w:t>
      </w:r>
    </w:p>
    <w:p>
      <w:pPr>
        <w:spacing w:after="0" w:line="120" w:lineRule="exact"/>
        <w:rPr>
          <w:sz w:val="20"/>
          <w:szCs w:val="20"/>
          <w:color w:val="auto"/>
        </w:rPr>
      </w:pPr>
    </w:p>
    <w:p>
      <w:pPr>
        <w:ind w:right="80" w:firstLine="426"/>
        <w:spacing w:after="0" w:line="263" w:lineRule="auto"/>
        <w:rPr>
          <w:sz w:val="20"/>
          <w:szCs w:val="20"/>
          <w:color w:val="auto"/>
        </w:rPr>
      </w:pPr>
      <w:r>
        <w:rPr>
          <w:rFonts w:ascii="Times New Roman" w:cs="Times New Roman" w:eastAsia="Times New Roman" w:hAnsi="Times New Roman"/>
          <w:sz w:val="17"/>
          <w:szCs w:val="17"/>
          <w:color w:val="auto"/>
        </w:rPr>
        <w:t>Upon the Company’s exercise under Section 8.01 hereof of the option applicable to this Section 8.02, the Company, subject to the satisfaction of the conditions set forth in Section 8.04 hereof,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17"/>
          <w:szCs w:val="17"/>
          <w:i w:val="1"/>
          <w:iCs w:val="1"/>
          <w:color w:val="auto"/>
        </w:rPr>
        <w:t>Legal Defeasance</w:t>
      </w:r>
      <w:r>
        <w:rPr>
          <w:rFonts w:ascii="Times New Roman" w:cs="Times New Roman" w:eastAsia="Times New Roman" w:hAnsi="Times New Roman"/>
          <w:sz w:val="17"/>
          <w:szCs w:val="17"/>
          <w:color w:val="auto"/>
        </w:rPr>
        <w:t>”). For this purpose, Legal Defeasance means that the Company will be deemed to have paid and discharged the entire Indebtedness represented by the outstanding Notes, which will thereafter be deemed to be “outstanding” only for the purposes of Section 8.05 hereof and the other Sections of this Indenture referred to in clauses (1) and (2) below, and to have satisfied all their other obligations under such Notes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660"/>
          </w:cols>
          <w:pgMar w:left="620" w:top="265" w:right="619" w:bottom="1440" w:gutter="0" w:footer="0" w:header="0"/>
        </w:sectPr>
      </w:pPr>
    </w:p>
    <w:bookmarkStart w:id="347" w:name="page348"/>
    <w:bookmarkEnd w:id="347"/>
    <w:p>
      <w:pPr>
        <w:ind w:left="420" w:right="240"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  the rights of Holders of outstanding Notes to receive payments in respect of the principal of, or interest or premium, if any, on, such Notes when such payments are due from the trust referred to in Section 8.04 hereof;</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(2)   the Company’s Obligations with respect to such Notes under Article 2 and Section 4.02 hereof;</w:t>
      </w:r>
    </w:p>
    <w:p>
      <w:pPr>
        <w:spacing w:after="0" w:line="118" w:lineRule="exact"/>
        <w:rPr>
          <w:sz w:val="20"/>
          <w:szCs w:val="20"/>
          <w:color w:val="auto"/>
        </w:rPr>
      </w:pPr>
    </w:p>
    <w:p>
      <w:pPr>
        <w:ind w:left="420" w:right="80" w:firstLine="409"/>
        <w:spacing w:after="0" w:line="295" w:lineRule="auto"/>
        <w:rPr>
          <w:sz w:val="20"/>
          <w:szCs w:val="20"/>
          <w:color w:val="auto"/>
        </w:rPr>
      </w:pPr>
      <w:r>
        <w:rPr>
          <w:rFonts w:ascii="Times New Roman" w:cs="Times New Roman" w:eastAsia="Times New Roman" w:hAnsi="Times New Roman"/>
          <w:sz w:val="17"/>
          <w:szCs w:val="17"/>
          <w:color w:val="auto"/>
        </w:rPr>
        <w:t>(3)  the rights, powers, trusts, duties and immunities of the Trustee, the Paying Agent, the Registrar and the Transfer Agent hereunder, and the Company’s Obligations in connection therewith; and</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this Article 8.</w:t>
      </w:r>
    </w:p>
    <w:p>
      <w:pPr>
        <w:spacing w:after="0" w:line="223" w:lineRule="exact"/>
        <w:rPr>
          <w:sz w:val="20"/>
          <w:szCs w:val="20"/>
          <w:color w:val="auto"/>
        </w:rPr>
      </w:pPr>
    </w:p>
    <w:p>
      <w:pPr>
        <w:ind w:right="200" w:firstLine="426"/>
        <w:spacing w:after="0" w:line="295" w:lineRule="auto"/>
        <w:rPr>
          <w:sz w:val="20"/>
          <w:szCs w:val="20"/>
          <w:color w:val="auto"/>
        </w:rPr>
      </w:pPr>
      <w:r>
        <w:rPr>
          <w:rFonts w:ascii="Times New Roman" w:cs="Times New Roman" w:eastAsia="Times New Roman" w:hAnsi="Times New Roman"/>
          <w:sz w:val="17"/>
          <w:szCs w:val="17"/>
          <w:color w:val="auto"/>
        </w:rPr>
        <w:t>Subject to compliance with this Article 8, the Company may exercise its option under this Section 8.02 notwithstanding the prior exercise of its option under Section 8.03 hereof.</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8.03   Covenant Defeasance.</w:t>
      </w:r>
    </w:p>
    <w:p>
      <w:pPr>
        <w:spacing w:after="0" w:line="120" w:lineRule="exact"/>
        <w:rPr>
          <w:sz w:val="20"/>
          <w:szCs w:val="20"/>
          <w:color w:val="auto"/>
        </w:rPr>
      </w:pPr>
    </w:p>
    <w:p>
      <w:pPr>
        <w:ind w:firstLine="426"/>
        <w:spacing w:after="0" w:line="259" w:lineRule="auto"/>
        <w:rPr>
          <w:sz w:val="20"/>
          <w:szCs w:val="20"/>
          <w:color w:val="auto"/>
        </w:rPr>
      </w:pPr>
      <w:r>
        <w:rPr>
          <w:rFonts w:ascii="Times New Roman" w:cs="Times New Roman" w:eastAsia="Times New Roman" w:hAnsi="Times New Roman"/>
          <w:sz w:val="17"/>
          <w:szCs w:val="17"/>
          <w:color w:val="auto"/>
        </w:rPr>
        <w:t>Upon the Company’s exercise under Section 8.01 hereof of the option applicable to this Section 8.03, the Company will, subject to the satisfaction of the conditions set forth in Section 8.04 hereof, be released from each of their obligations under the covenants contained in Sections 4.08 and 4.09 hereof with respect to the outstanding Notes on and after the date the conditions set forth in Section 8.04 hereof are satisfied (hereinafter, “</w:t>
      </w:r>
      <w:r>
        <w:rPr>
          <w:rFonts w:ascii="Times New Roman" w:cs="Times New Roman" w:eastAsia="Times New Roman" w:hAnsi="Times New Roman"/>
          <w:sz w:val="17"/>
          <w:szCs w:val="17"/>
          <w:i w:val="1"/>
          <w:iCs w:val="1"/>
          <w:color w:val="auto"/>
        </w:rPr>
        <w:t>Covenant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Defeasance</w:t>
      </w:r>
      <w:r>
        <w:rPr>
          <w:rFonts w:ascii="Times New Roman" w:cs="Times New Roman" w:eastAsia="Times New Roman" w:hAnsi="Times New Roman"/>
          <w:sz w:val="17"/>
          <w:szCs w:val="17"/>
          <w:color w:val="auto"/>
        </w:rPr>
        <w:t>”), and the Notes will thereafter be deemed not “outstanding” for the purposes of any direction, waiver, consent or declaration or act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will be unaffected thereby. In addition, upon the Company’s exercise under Section 8.01 hereof of the option applicable to this Section 8.03, subject to the satisfaction of the conditions set forth in Section 8.04 hereof, Sections 6.01(a)(3) through 6.01(a)(6) hereof will not constitute Events of Default;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failure by the Company to comply with its obligations under the provisions of Section 4.10 will constitute an Event of Default.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8.04   Conditions to Legal or Covenant Defeasance.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order to exercise either Legal Defeasance or Covenant Defeasance under either Section 8.02 or 8.03 hereof:</w:t>
      </w:r>
    </w:p>
    <w:p>
      <w:pPr>
        <w:spacing w:after="0" w:line="118" w:lineRule="exact"/>
        <w:rPr>
          <w:sz w:val="20"/>
          <w:szCs w:val="20"/>
          <w:color w:val="auto"/>
        </w:rPr>
      </w:pPr>
    </w:p>
    <w:p>
      <w:pPr>
        <w:ind w:left="420" w:right="40" w:firstLine="409"/>
        <w:spacing w:after="0" w:line="264" w:lineRule="auto"/>
        <w:rPr>
          <w:sz w:val="20"/>
          <w:szCs w:val="20"/>
          <w:color w:val="auto"/>
        </w:rPr>
      </w:pPr>
      <w:r>
        <w:rPr>
          <w:rFonts w:ascii="Times New Roman" w:cs="Times New Roman" w:eastAsia="Times New Roman" w:hAnsi="Times New Roman"/>
          <w:sz w:val="17"/>
          <w:szCs w:val="17"/>
          <w:color w:val="auto"/>
        </w:rPr>
        <w:t>(1)  the Company must irrevocably deposit with the Trustee, in trust, (or such other entity as may be designated by the Trustee for this purpose) for the benefit of the Holders, cash in U.S. dollars, 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and Additional Amounts,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69" w:lineRule="exact"/>
        <w:rPr>
          <w:sz w:val="20"/>
          <w:szCs w:val="20"/>
          <w:color w:val="auto"/>
        </w:rPr>
      </w:pPr>
    </w:p>
    <w:p>
      <w:pPr>
        <w:ind w:left="420" w:right="500" w:firstLine="409"/>
        <w:spacing w:after="0" w:line="295" w:lineRule="auto"/>
        <w:rPr>
          <w:sz w:val="20"/>
          <w:szCs w:val="20"/>
          <w:color w:val="auto"/>
        </w:rPr>
      </w:pPr>
      <w:r>
        <w:rPr>
          <w:rFonts w:ascii="Times New Roman" w:cs="Times New Roman" w:eastAsia="Times New Roman" w:hAnsi="Times New Roman"/>
          <w:sz w:val="17"/>
          <w:szCs w:val="17"/>
          <w:color w:val="auto"/>
        </w:rPr>
        <w:t>(2)  in the case of an election under Section 8.02 hereof, the Company must deliver to the Trustee an Opinion of Counsel reasonably acceptable to the Trustee confirming that:</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   the Company has received from, or there has been published by, the U.S. Internal Revenue Service a ruling; or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620"/>
          </w:cols>
          <w:pgMar w:left="620" w:top="265" w:right="659" w:bottom="1440" w:gutter="0" w:footer="0" w:header="0"/>
        </w:sectPr>
      </w:pPr>
    </w:p>
    <w:bookmarkStart w:id="348" w:name="page349"/>
    <w:bookmarkEnd w:id="348"/>
    <w:p>
      <w:pPr>
        <w:ind w:left="840" w:right="100" w:firstLine="49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  since the date of this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65" w:lineRule="exact"/>
        <w:rPr>
          <w:sz w:val="20"/>
          <w:szCs w:val="20"/>
          <w:color w:val="auto"/>
        </w:rPr>
      </w:pPr>
    </w:p>
    <w:p>
      <w:pPr>
        <w:ind w:left="420" w:right="200" w:firstLine="409"/>
        <w:spacing w:after="0" w:line="269" w:lineRule="auto"/>
        <w:rPr>
          <w:sz w:val="20"/>
          <w:szCs w:val="20"/>
          <w:color w:val="auto"/>
        </w:rPr>
      </w:pPr>
      <w:r>
        <w:rPr>
          <w:rFonts w:ascii="Times New Roman" w:cs="Times New Roman" w:eastAsia="Times New Roman" w:hAnsi="Times New Roman"/>
          <w:sz w:val="17"/>
          <w:szCs w:val="17"/>
          <w:color w:val="auto"/>
        </w:rPr>
        <w:t>(3)  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5" w:lineRule="exact"/>
        <w:rPr>
          <w:sz w:val="20"/>
          <w:szCs w:val="20"/>
          <w:color w:val="auto"/>
        </w:rPr>
      </w:pPr>
    </w:p>
    <w:p>
      <w:pPr>
        <w:ind w:left="420" w:right="340" w:firstLine="409"/>
        <w:spacing w:after="0" w:line="276" w:lineRule="auto"/>
        <w:rPr>
          <w:sz w:val="20"/>
          <w:szCs w:val="20"/>
          <w:color w:val="auto"/>
        </w:rPr>
      </w:pPr>
      <w:r>
        <w:rPr>
          <w:rFonts w:ascii="Times New Roman" w:cs="Times New Roman" w:eastAsia="Times New Roman" w:hAnsi="Times New Roman"/>
          <w:sz w:val="17"/>
          <w:szCs w:val="17"/>
          <w:color w:val="auto"/>
        </w:rPr>
        <w:t>(4)  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is a party or by which the Company is bound;</w:t>
      </w:r>
    </w:p>
    <w:p>
      <w:pPr>
        <w:spacing w:after="0" w:line="57" w:lineRule="exact"/>
        <w:rPr>
          <w:sz w:val="20"/>
          <w:szCs w:val="20"/>
          <w:color w:val="auto"/>
        </w:rPr>
      </w:pPr>
    </w:p>
    <w:p>
      <w:pPr>
        <w:ind w:left="420" w:right="40" w:firstLine="409"/>
        <w:spacing w:after="0" w:line="276" w:lineRule="auto"/>
        <w:rPr>
          <w:sz w:val="20"/>
          <w:szCs w:val="20"/>
          <w:color w:val="auto"/>
        </w:rPr>
      </w:pPr>
      <w:r>
        <w:rPr>
          <w:rFonts w:ascii="Times New Roman" w:cs="Times New Roman" w:eastAsia="Times New Roman" w:hAnsi="Times New Roman"/>
          <w:sz w:val="17"/>
          <w:szCs w:val="17"/>
          <w:color w:val="auto"/>
        </w:rPr>
        <w:t>(5)  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57" w:lineRule="exact"/>
        <w:rPr>
          <w:sz w:val="20"/>
          <w:szCs w:val="20"/>
          <w:color w:val="auto"/>
        </w:rPr>
      </w:pPr>
    </w:p>
    <w:p>
      <w:pPr>
        <w:jc w:val="both"/>
        <w:ind w:left="420" w:right="80" w:firstLine="409"/>
        <w:spacing w:after="0" w:line="276" w:lineRule="auto"/>
        <w:rPr>
          <w:sz w:val="20"/>
          <w:szCs w:val="20"/>
          <w:color w:val="auto"/>
        </w:rPr>
      </w:pPr>
      <w:r>
        <w:rPr>
          <w:rFonts w:ascii="Times New Roman" w:cs="Times New Roman" w:eastAsia="Times New Roman" w:hAnsi="Times New Roman"/>
          <w:sz w:val="17"/>
          <w:szCs w:val="17"/>
          <w:color w:val="auto"/>
        </w:rPr>
        <w:t>(6)  the Company must deliver to the Trustee an Officer’s Certificate stating that the deposit was not made by the Company with the intent of preferring the Holders over the other creditors of the Company with the intent of defeating, hindering, delaying or defrauding any creditors of the Company or others; and</w:t>
      </w:r>
    </w:p>
    <w:p>
      <w:pPr>
        <w:spacing w:after="0" w:line="57" w:lineRule="exact"/>
        <w:rPr>
          <w:sz w:val="20"/>
          <w:szCs w:val="20"/>
          <w:color w:val="auto"/>
        </w:rPr>
      </w:pPr>
    </w:p>
    <w:p>
      <w:pPr>
        <w:jc w:val="both"/>
        <w:ind w:left="420" w:right="100" w:firstLine="409"/>
        <w:spacing w:after="0" w:line="295" w:lineRule="auto"/>
        <w:rPr>
          <w:sz w:val="20"/>
          <w:szCs w:val="20"/>
          <w:color w:val="auto"/>
        </w:rPr>
      </w:pPr>
      <w:r>
        <w:rPr>
          <w:rFonts w:ascii="Times New Roman" w:cs="Times New Roman" w:eastAsia="Times New Roman" w:hAnsi="Times New Roman"/>
          <w:sz w:val="17"/>
          <w:szCs w:val="17"/>
          <w:color w:val="auto"/>
        </w:rPr>
        <w:t>(7)  the Company must deliver to the Trustee an Officer’s Certificate and an Opinion of Counsel, each stating that all conditions precedent relating to the Legal Defeasance or the Covenant Defeasance have been complied with.</w:t>
      </w:r>
    </w:p>
    <w:p>
      <w:pPr>
        <w:spacing w:after="0" w:line="42" w:lineRule="exact"/>
        <w:rPr>
          <w:sz w:val="20"/>
          <w:szCs w:val="20"/>
          <w:color w:val="auto"/>
        </w:rPr>
      </w:pPr>
    </w:p>
    <w:p>
      <w:pPr>
        <w:ind w:left="420" w:firstLine="409"/>
        <w:spacing w:after="0" w:line="295" w:lineRule="auto"/>
        <w:rPr>
          <w:sz w:val="20"/>
          <w:szCs w:val="20"/>
          <w:color w:val="auto"/>
        </w:rPr>
      </w:pPr>
      <w:r>
        <w:rPr>
          <w:rFonts w:ascii="Times New Roman" w:cs="Times New Roman" w:eastAsia="Times New Roman" w:hAnsi="Times New Roman"/>
          <w:sz w:val="17"/>
          <w:szCs w:val="17"/>
          <w:color w:val="auto"/>
        </w:rPr>
        <w:t>(8)  The Trustee shall be entitled to its usual fees and, in addition, any fees and expenses properly incurred or charged by the Trustee and its counsel in connection with defeasance, satisfaction and discharge, and investment or custody services provided hereunder.</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8.05 Deposited Money and U.S. Government Obligations to be Held in Trust; Other Miscellaneous Provisions.</w:t>
      </w:r>
    </w:p>
    <w:p>
      <w:pPr>
        <w:spacing w:after="0" w:line="120" w:lineRule="exact"/>
        <w:rPr>
          <w:sz w:val="20"/>
          <w:szCs w:val="20"/>
          <w:color w:val="auto"/>
        </w:rPr>
      </w:pPr>
    </w:p>
    <w:p>
      <w:pPr>
        <w:ind w:right="40" w:firstLine="426"/>
        <w:spacing w:after="0" w:line="264" w:lineRule="auto"/>
        <w:rPr>
          <w:sz w:val="20"/>
          <w:szCs w:val="20"/>
          <w:color w:val="auto"/>
        </w:rPr>
      </w:pPr>
      <w:r>
        <w:rPr>
          <w:rFonts w:ascii="Times New Roman" w:cs="Times New Roman" w:eastAsia="Times New Roman" w:hAnsi="Times New Roman"/>
          <w:sz w:val="17"/>
          <w:szCs w:val="17"/>
          <w:color w:val="auto"/>
        </w:rPr>
        <w:t>Subject to Section 8.06 hereof, all money and non-callable U.S. Government Obligations (including the proceeds thereof) deposited with the Trustee (or other qualifying trustee, collectively for purposes of this Section 8.05, the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73" w:lineRule="exact"/>
        <w:rPr>
          <w:sz w:val="20"/>
          <w:szCs w:val="20"/>
          <w:color w:val="auto"/>
        </w:rPr>
      </w:pPr>
    </w:p>
    <w:p>
      <w:pPr>
        <w:jc w:val="both"/>
        <w:ind w:firstLine="426"/>
        <w:spacing w:after="0" w:line="276" w:lineRule="auto"/>
        <w:rPr>
          <w:sz w:val="20"/>
          <w:szCs w:val="20"/>
          <w:color w:val="auto"/>
        </w:rPr>
      </w:pPr>
      <w:r>
        <w:rPr>
          <w:rFonts w:ascii="Times New Roman" w:cs="Times New Roman" w:eastAsia="Times New Roman" w:hAnsi="Times New Roman"/>
          <w:sz w:val="17"/>
          <w:szCs w:val="17"/>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62" w:lineRule="exact"/>
        <w:rPr>
          <w:sz w:val="20"/>
          <w:szCs w:val="20"/>
          <w:color w:val="auto"/>
        </w:rPr>
      </w:pPr>
    </w:p>
    <w:p>
      <w:pPr>
        <w:ind w:right="40" w:firstLine="426"/>
        <w:spacing w:after="0" w:line="266" w:lineRule="auto"/>
        <w:rPr>
          <w:sz w:val="20"/>
          <w:szCs w:val="20"/>
          <w:color w:val="auto"/>
        </w:rPr>
      </w:pPr>
      <w:r>
        <w:rPr>
          <w:rFonts w:ascii="Times New Roman" w:cs="Times New Roman" w:eastAsia="Times New Roman" w:hAnsi="Times New Roman"/>
          <w:sz w:val="17"/>
          <w:szCs w:val="17"/>
          <w:color w:val="auto"/>
        </w:rPr>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an internationally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640"/>
          </w:cols>
          <w:pgMar w:left="620" w:top="264" w:right="639" w:bottom="1440" w:gutter="0" w:footer="0" w:header="0"/>
        </w:sectPr>
      </w:pPr>
    </w:p>
    <w:bookmarkStart w:id="349" w:name="page350"/>
    <w:bookmarkEnd w:id="349"/>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8.06   Repayment to Company.</w:t>
      </w:r>
    </w:p>
    <w:p>
      <w:pPr>
        <w:spacing w:after="0" w:line="120"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 xml:space="preserve">Any money deposited with the Trustee or any Paying Agent, or then held by the Company, in trust for the payment of the principal of, premium or Additional Amounts, if any, or interest on, any Note and remaining unclaimed for two (2) years after such principal, premium, or Additional Amounts,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8.07   Reinstatement.</w:t>
      </w:r>
    </w:p>
    <w:p>
      <w:pPr>
        <w:spacing w:after="0" w:line="120" w:lineRule="exact"/>
        <w:rPr>
          <w:sz w:val="20"/>
          <w:szCs w:val="20"/>
          <w:color w:val="auto"/>
        </w:rPr>
      </w:pPr>
    </w:p>
    <w:p>
      <w:pPr>
        <w:ind w:right="80" w:firstLine="426"/>
        <w:spacing w:after="0" w:line="263" w:lineRule="auto"/>
        <w:rPr>
          <w:sz w:val="20"/>
          <w:szCs w:val="20"/>
          <w:color w:val="auto"/>
        </w:rPr>
      </w:pPr>
      <w:r>
        <w:rPr>
          <w:rFonts w:ascii="Times New Roman" w:cs="Times New Roman" w:eastAsia="Times New Roman" w:hAnsi="Times New Roman"/>
          <w:sz w:val="17"/>
          <w:szCs w:val="17"/>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obligations under this Indenture and the Notes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Company makes any payment of principal of, premium or Additional Amounts, if any, or interest on, any Note following the reinstatement of its obligations, the Company will be subrogated to the rights of the holders of such Notes to receive such payment from the money held by the Trustee or Paying Agent.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SUPPLEMENT AND WAIVER</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9.01   Without Consent of Holders of Notes.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Notwithstanding Section 9.02 of this Indenture, the Company, the Trustee, and each Agent, may amend or supplement this Indenture and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without the consent of any Holder:</w:t>
      </w:r>
    </w:p>
    <w:p>
      <w:pPr>
        <w:spacing w:after="0" w:line="1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to cure any ambiguity, defect or inconsistency;</w:t>
      </w:r>
    </w:p>
    <w:p>
      <w:pPr>
        <w:spacing w:after="0" w:line="116" w:lineRule="exact"/>
        <w:rPr>
          <w:sz w:val="20"/>
          <w:szCs w:val="20"/>
          <w:color w:val="auto"/>
        </w:rPr>
      </w:pPr>
    </w:p>
    <w:p>
      <w:pPr>
        <w:ind w:left="420" w:right="580" w:firstLine="409"/>
        <w:spacing w:after="0" w:line="298" w:lineRule="auto"/>
        <w:rPr>
          <w:sz w:val="20"/>
          <w:szCs w:val="20"/>
          <w:color w:val="auto"/>
        </w:rPr>
      </w:pPr>
      <w:r>
        <w:rPr>
          <w:rFonts w:ascii="Times New Roman" w:cs="Times New Roman" w:eastAsia="Times New Roman" w:hAnsi="Times New Roman"/>
          <w:sz w:val="17"/>
          <w:szCs w:val="17"/>
          <w:color w:val="auto"/>
        </w:rPr>
        <w:t xml:space="preserve">(2)  to provide for uncertificated Notes in addition to or in place of certificated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uncertificated Notes are in registered form for U.S. federal income tax purposes;</w:t>
      </w:r>
    </w:p>
    <w:p>
      <w:pPr>
        <w:spacing w:after="0" w:line="39" w:lineRule="exact"/>
        <w:rPr>
          <w:sz w:val="20"/>
          <w:szCs w:val="20"/>
          <w:color w:val="auto"/>
        </w:rPr>
      </w:pPr>
    </w:p>
    <w:p>
      <w:pPr>
        <w:ind w:left="420" w:right="600" w:firstLine="409"/>
        <w:spacing w:after="0" w:line="295" w:lineRule="auto"/>
        <w:rPr>
          <w:sz w:val="20"/>
          <w:szCs w:val="20"/>
          <w:color w:val="auto"/>
        </w:rPr>
      </w:pPr>
      <w:r>
        <w:rPr>
          <w:rFonts w:ascii="Times New Roman" w:cs="Times New Roman" w:eastAsia="Times New Roman" w:hAnsi="Times New Roman"/>
          <w:sz w:val="17"/>
          <w:szCs w:val="17"/>
          <w:color w:val="auto"/>
        </w:rPr>
        <w:t>(3)  to provide for the assumption of the Company’s Obligations to Holders in the case of a merger or consolidation or sale of all or substantially all of the Company’s assets;</w:t>
      </w:r>
    </w:p>
    <w:p>
      <w:pPr>
        <w:spacing w:after="0" w:line="42" w:lineRule="exact"/>
        <w:rPr>
          <w:sz w:val="20"/>
          <w:szCs w:val="20"/>
          <w:color w:val="auto"/>
        </w:rPr>
      </w:pPr>
    </w:p>
    <w:p>
      <w:pPr>
        <w:jc w:val="both"/>
        <w:ind w:left="420" w:right="60" w:firstLine="409"/>
        <w:spacing w:after="0" w:line="295" w:lineRule="auto"/>
        <w:rPr>
          <w:sz w:val="20"/>
          <w:szCs w:val="20"/>
          <w:color w:val="auto"/>
        </w:rPr>
      </w:pPr>
      <w:r>
        <w:rPr>
          <w:rFonts w:ascii="Times New Roman" w:cs="Times New Roman" w:eastAsia="Times New Roman" w:hAnsi="Times New Roman"/>
          <w:sz w:val="17"/>
          <w:szCs w:val="17"/>
          <w:color w:val="auto"/>
        </w:rPr>
        <w:t>(4)  to make any change that would provide any additional rights or benefits to the Holders or that does not adversely affect the legal rights under this Indenture of any such Holder;</w:t>
      </w:r>
    </w:p>
    <w:p>
      <w:pPr>
        <w:spacing w:after="0" w:line="42" w:lineRule="exact"/>
        <w:rPr>
          <w:sz w:val="20"/>
          <w:szCs w:val="20"/>
          <w:color w:val="auto"/>
        </w:rPr>
      </w:pPr>
    </w:p>
    <w:p>
      <w:pPr>
        <w:jc w:val="both"/>
        <w:ind w:left="420" w:right="60" w:firstLine="409"/>
        <w:spacing w:after="0" w:line="276" w:lineRule="auto"/>
        <w:rPr>
          <w:sz w:val="20"/>
          <w:szCs w:val="20"/>
          <w:color w:val="auto"/>
        </w:rPr>
      </w:pPr>
      <w:r>
        <w:rPr>
          <w:rFonts w:ascii="Times New Roman" w:cs="Times New Roman" w:eastAsia="Times New Roman" w:hAnsi="Times New Roman"/>
          <w:sz w:val="17"/>
          <w:szCs w:val="17"/>
          <w:color w:val="auto"/>
        </w:rPr>
        <w:t>(5)  to conform the text of this Indenture to any provision of the “Description of Notes” section of the Offering Memorandum, to the extent that such provision in that “Description of Notes” section of the Offering Memorandum was intended to be a verbatim recitation of a provision of the Notes or this Indenture; or</w:t>
      </w:r>
    </w:p>
    <w:p>
      <w:pPr>
        <w:spacing w:after="0" w:line="57" w:lineRule="exact"/>
        <w:rPr>
          <w:sz w:val="20"/>
          <w:szCs w:val="20"/>
          <w:color w:val="auto"/>
        </w:rPr>
      </w:pPr>
    </w:p>
    <w:p>
      <w:pPr>
        <w:ind w:left="420" w:right="520" w:firstLine="409"/>
        <w:spacing w:after="0" w:line="295" w:lineRule="auto"/>
        <w:rPr>
          <w:sz w:val="20"/>
          <w:szCs w:val="20"/>
          <w:color w:val="auto"/>
        </w:rPr>
      </w:pPr>
      <w:r>
        <w:rPr>
          <w:rFonts w:ascii="Times New Roman" w:cs="Times New Roman" w:eastAsia="Times New Roman" w:hAnsi="Times New Roman"/>
          <w:sz w:val="17"/>
          <w:szCs w:val="17"/>
          <w:color w:val="auto"/>
        </w:rPr>
        <w:t>(6)  to provide for the issuance of Additional Notes in accordance with the limitations set forth in this Indenture as of the date of this Indenture;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660"/>
          </w:cols>
          <w:pgMar w:left="620" w:top="262" w:right="619" w:bottom="1440" w:gutter="0" w:footer="0" w:header="0"/>
        </w:sectPr>
      </w:pPr>
    </w:p>
    <w:bookmarkStart w:id="350" w:name="page351"/>
    <w:bookmarkEnd w:id="350"/>
    <w:p>
      <w:pPr>
        <w:ind w:right="20" w:firstLine="42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Upon the request of the Company accompanied by a resolution of its Board of Directors authorizing the execution of any such amended or supplemental indenture, and upon receipt by the Trustee of the documents described in Sections 7.02, 9.06 and 13.04 hereof, the Trustee and each Agent will join with the Company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9.02   With Consent of Holders of Notes.</w:t>
      </w:r>
    </w:p>
    <w:p>
      <w:pPr>
        <w:spacing w:after="0" w:line="120" w:lineRule="exact"/>
        <w:rPr>
          <w:sz w:val="20"/>
          <w:szCs w:val="20"/>
          <w:color w:val="auto"/>
        </w:rPr>
      </w:pPr>
    </w:p>
    <w:p>
      <w:pPr>
        <w:ind w:right="60" w:firstLine="426"/>
        <w:spacing w:after="0" w:line="261" w:lineRule="auto"/>
        <w:rPr>
          <w:sz w:val="20"/>
          <w:szCs w:val="20"/>
          <w:color w:val="auto"/>
        </w:rPr>
      </w:pPr>
      <w:r>
        <w:rPr>
          <w:rFonts w:ascii="Times New Roman" w:cs="Times New Roman" w:eastAsia="Times New Roman" w:hAnsi="Times New Roman"/>
          <w:sz w:val="17"/>
          <w:szCs w:val="17"/>
          <w:color w:val="auto"/>
        </w:rPr>
        <w:t>Except as provided below in this Section 9.02, the Company, the Trustee and each Agent may amend or supplement this Indenture (including, without limitation, Section 4.08 hereof) and the Notes,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or the Notes, may be waived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390"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Upon the request of the Company accompanied by a resolution of its Board of Directors authorizing the execution of any such amended or supplemental indenture, and upon delivery to the Trustee of evidence satisfactory to the Trustee of the consent of the holders of Notes as aforesaid, and upon receipt by the Trustee of the documents described in Section 7.02, 9.06 and 13.04 hereof, the Trustee and each Agent will join with the Company in the execution of such amended or supplemental indenture authorized or permitted by the terms of this Indenture unless such amended or supplemental indenture directly affects either the Trustee’s or any Agent’s own rights, duties or immunities under this Indenture or otherwise, in which case the Trustee and each Agent (as the case may be) may in their discretion, but will not be obligated to, enter into such amended or supplemental indenture.</w:t>
      </w:r>
    </w:p>
    <w:p>
      <w:pPr>
        <w:spacing w:after="0" w:line="173" w:lineRule="exact"/>
        <w:rPr>
          <w:sz w:val="20"/>
          <w:szCs w:val="20"/>
          <w:color w:val="auto"/>
        </w:rPr>
      </w:pPr>
    </w:p>
    <w:p>
      <w:pPr>
        <w:ind w:right="800" w:firstLine="426"/>
        <w:spacing w:after="0" w:line="295" w:lineRule="auto"/>
        <w:rPr>
          <w:sz w:val="20"/>
          <w:szCs w:val="20"/>
          <w:color w:val="auto"/>
        </w:rPr>
      </w:pPr>
      <w:r>
        <w:rPr>
          <w:rFonts w:ascii="Times New Roman" w:cs="Times New Roman" w:eastAsia="Times New Roman" w:hAnsi="Times New Roman"/>
          <w:sz w:val="17"/>
          <w:szCs w:val="17"/>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47" w:lineRule="exact"/>
        <w:rPr>
          <w:sz w:val="20"/>
          <w:szCs w:val="20"/>
          <w:color w:val="auto"/>
        </w:rPr>
      </w:pPr>
    </w:p>
    <w:p>
      <w:pPr>
        <w:ind w:right="20" w:firstLine="426"/>
        <w:spacing w:after="0" w:line="263" w:lineRule="auto"/>
        <w:rPr>
          <w:sz w:val="20"/>
          <w:szCs w:val="20"/>
          <w:color w:val="auto"/>
        </w:rPr>
      </w:pPr>
      <w:r>
        <w:rPr>
          <w:rFonts w:ascii="Times New Roman" w:cs="Times New Roman" w:eastAsia="Times New Roman" w:hAnsi="Times New Roman"/>
          <w:sz w:val="17"/>
          <w:szCs w:val="17"/>
          <w:color w:val="auto"/>
        </w:rPr>
        <w:t>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Holders of 90% of the aggregate principal amount then outstanding of Notes (including the Additional Notes) affected, an amendment, supplement or waiver under this Section 9.02 may not (with respect to any Notes (including the Additional Notes) held by a non-consenting Holder):</w:t>
      </w:r>
    </w:p>
    <w:p>
      <w:pPr>
        <w:spacing w:after="0" w:line="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reduce the principal amount of Notes whose Holders must consent to an amendment, supplement or waiver;</w:t>
      </w:r>
    </w:p>
    <w:p>
      <w:pPr>
        <w:spacing w:after="0" w:line="118" w:lineRule="exact"/>
        <w:rPr>
          <w:sz w:val="20"/>
          <w:szCs w:val="20"/>
          <w:color w:val="auto"/>
        </w:rPr>
      </w:pPr>
    </w:p>
    <w:p>
      <w:pPr>
        <w:ind w:left="420" w:right="160" w:firstLine="409"/>
        <w:spacing w:after="0" w:line="295" w:lineRule="auto"/>
        <w:rPr>
          <w:sz w:val="20"/>
          <w:szCs w:val="20"/>
          <w:color w:val="auto"/>
        </w:rPr>
      </w:pPr>
      <w:r>
        <w:rPr>
          <w:rFonts w:ascii="Times New Roman" w:cs="Times New Roman" w:eastAsia="Times New Roman" w:hAnsi="Times New Roman"/>
          <w:sz w:val="17"/>
          <w:szCs w:val="17"/>
          <w:color w:val="auto"/>
        </w:rPr>
        <w:t>(2)  reduce the principal of, premium, if any, or change the fixed maturity of any Note or alter or waive any provisions with respect to the redemption of the Notes (except as provided above with respect to Section 4.08 hereof);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640"/>
          </w:cols>
          <w:pgMar w:left="620" w:top="264" w:right="639" w:bottom="1440" w:gutter="0" w:footer="0" w:header="0"/>
        </w:sectPr>
      </w:pPr>
    </w:p>
    <w:bookmarkStart w:id="351" w:name="page352"/>
    <w:bookmarkEnd w:id="351"/>
    <w:p>
      <w:pPr>
        <w:ind w:left="8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   reduce the rate of or change the time for payment of interest, including default interest, on any Note;</w:t>
      </w:r>
    </w:p>
    <w:p>
      <w:pPr>
        <w:spacing w:after="0" w:line="118" w:lineRule="exact"/>
        <w:rPr>
          <w:sz w:val="20"/>
          <w:szCs w:val="20"/>
          <w:color w:val="auto"/>
        </w:rPr>
      </w:pPr>
    </w:p>
    <w:p>
      <w:pPr>
        <w:jc w:val="both"/>
        <w:ind w:left="420" w:right="160" w:firstLine="409"/>
        <w:spacing w:after="0" w:line="276" w:lineRule="auto"/>
        <w:rPr>
          <w:sz w:val="20"/>
          <w:szCs w:val="20"/>
          <w:color w:val="auto"/>
        </w:rPr>
      </w:pPr>
      <w:r>
        <w:rPr>
          <w:rFonts w:ascii="Times New Roman" w:cs="Times New Roman" w:eastAsia="Times New Roman" w:hAnsi="Times New Roman"/>
          <w:sz w:val="17"/>
          <w:szCs w:val="17"/>
          <w:color w:val="auto"/>
        </w:rPr>
        <w:t>(4)  waive a Default or Event of Default in the payment of principal of, or interest, premium or Additional Amounts,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(5)   make any Note payable in money other than that stated in the Notes;</w:t>
      </w:r>
    </w:p>
    <w:p>
      <w:pPr>
        <w:spacing w:after="0" w:line="118" w:lineRule="exact"/>
        <w:rPr>
          <w:sz w:val="20"/>
          <w:szCs w:val="20"/>
          <w:color w:val="auto"/>
        </w:rPr>
      </w:pPr>
    </w:p>
    <w:p>
      <w:pPr>
        <w:ind w:left="420" w:right="300" w:firstLine="409"/>
        <w:spacing w:after="0" w:line="295" w:lineRule="auto"/>
        <w:rPr>
          <w:sz w:val="20"/>
          <w:szCs w:val="20"/>
          <w:color w:val="auto"/>
        </w:rPr>
      </w:pPr>
      <w:r>
        <w:rPr>
          <w:rFonts w:ascii="Times New Roman" w:cs="Times New Roman" w:eastAsia="Times New Roman" w:hAnsi="Times New Roman"/>
          <w:sz w:val="17"/>
          <w:szCs w:val="17"/>
          <w:color w:val="auto"/>
        </w:rPr>
        <w:t>(6)  make any change in the provisions of this Indenture relating to waivers of past Defaults or the rights of Holders of Notes to receive payments of principal of, or interest, premium or Additional Amounts, if any, on, the Notes;</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(7)   waive a redemption payment with respect to any Note (other than a payment required by Section 4.08 hereof); or</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(8)   make any change in the preceding amendment and waiver provisions.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9.03   Supplemental Indenture.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Every amendment or supplement to this Indenture or the Notes will be set forth in an amended or supplemental indenture.</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9.04   Revocation and Effect of Consents.</w:t>
      </w:r>
    </w:p>
    <w:p>
      <w:pPr>
        <w:spacing w:after="0" w:line="120"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9.05   Notation on or Exchange of Notes.</w:t>
      </w:r>
    </w:p>
    <w:p>
      <w:pPr>
        <w:spacing w:after="0" w:line="120" w:lineRule="exact"/>
        <w:rPr>
          <w:sz w:val="20"/>
          <w:szCs w:val="20"/>
          <w:color w:val="auto"/>
        </w:rPr>
      </w:pPr>
    </w:p>
    <w:p>
      <w:pPr>
        <w:ind w:right="60" w:firstLine="426"/>
        <w:spacing w:after="0" w:line="276" w:lineRule="auto"/>
        <w:rPr>
          <w:sz w:val="20"/>
          <w:szCs w:val="20"/>
          <w:color w:val="auto"/>
        </w:rPr>
      </w:pPr>
      <w:r>
        <w:rPr>
          <w:rFonts w:ascii="Times New Roman" w:cs="Times New Roman" w:eastAsia="Times New Roman" w:hAnsi="Times New Roman"/>
          <w:sz w:val="17"/>
          <w:szCs w:val="17"/>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Failure to make the appropriate notation or issue a new Note will not affect the validity and effect of such amendment, supplement or waiver.</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9.06   Trustee to Sign Amendments, etc.</w:t>
      </w:r>
    </w:p>
    <w:p>
      <w:pPr>
        <w:spacing w:after="0" w:line="120" w:lineRule="exact"/>
        <w:rPr>
          <w:sz w:val="20"/>
          <w:szCs w:val="20"/>
          <w:color w:val="auto"/>
        </w:rPr>
      </w:pPr>
    </w:p>
    <w:p>
      <w:pPr>
        <w:ind w:right="20" w:firstLine="426"/>
        <w:spacing w:after="0" w:line="262" w:lineRule="auto"/>
        <w:rPr>
          <w:sz w:val="20"/>
          <w:szCs w:val="20"/>
          <w:color w:val="auto"/>
        </w:rPr>
      </w:pPr>
      <w:r>
        <w:rPr>
          <w:rFonts w:ascii="Times New Roman" w:cs="Times New Roman" w:eastAsia="Times New Roman" w:hAnsi="Times New Roman"/>
          <w:sz w:val="17"/>
          <w:szCs w:val="17"/>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(subject to Section 7.01 hereof and in addition to Section 7.02 hereof)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adversely affects the Trustee’s own rights, duties or immunities under this Indenture or otherwise.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640"/>
          </w:cols>
          <w:pgMar w:left="620" w:top="264" w:right="639" w:bottom="1440" w:gutter="0" w:footer="0" w:header="0"/>
        </w:sectPr>
      </w:pPr>
    </w:p>
    <w:bookmarkStart w:id="352" w:name="page353"/>
    <w:bookmarkEnd w:id="352"/>
    <w:p>
      <w:pPr>
        <w:jc w:val="center"/>
        <w:ind w:right="-7"/>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10</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[INTENTIONALLY OMITTED]</w:t>
      </w:r>
    </w:p>
    <w:p>
      <w:pPr>
        <w:spacing w:after="0" w:line="3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ARTICLE 11</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[INTENTIONALLY OMITTED]</w:t>
      </w:r>
    </w:p>
    <w:p>
      <w:pPr>
        <w:spacing w:after="0" w:line="3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ARTICLE 12</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SATISFACTION AND DISCHARGE</w:t>
      </w:r>
    </w:p>
    <w:p>
      <w:pPr>
        <w:spacing w:after="0" w:line="2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i w:val="1"/>
          <w:iCs w:val="1"/>
          <w:color w:val="auto"/>
        </w:rPr>
        <w:t>Section 12.01   Satisfaction and Discharge.</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This Indenture will be discharged and will cease to be of further effect as to all Notes issued hereunder, when:</w:t>
      </w:r>
    </w:p>
    <w:p>
      <w:pPr>
        <w:spacing w:after="0" w:line="118"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7"/>
          <w:szCs w:val="17"/>
          <w:color w:val="auto"/>
        </w:rPr>
        <w:t>(1)   either:</w:t>
      </w:r>
    </w:p>
    <w:p>
      <w:pPr>
        <w:spacing w:after="0" w:line="118" w:lineRule="exact"/>
        <w:rPr>
          <w:sz w:val="20"/>
          <w:szCs w:val="20"/>
          <w:color w:val="auto"/>
        </w:rPr>
      </w:pPr>
    </w:p>
    <w:p>
      <w:pPr>
        <w:ind w:left="428" w:right="440" w:firstLine="819"/>
        <w:spacing w:after="0" w:line="276" w:lineRule="auto"/>
        <w:rPr>
          <w:sz w:val="20"/>
          <w:szCs w:val="20"/>
          <w:color w:val="auto"/>
        </w:rPr>
      </w:pPr>
      <w:r>
        <w:rPr>
          <w:rFonts w:ascii="Times New Roman" w:cs="Times New Roman" w:eastAsia="Times New Roman" w:hAnsi="Times New Roman"/>
          <w:sz w:val="17"/>
          <w:szCs w:val="17"/>
          <w:color w:val="auto"/>
        </w:rPr>
        <w:t>(A)  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57" w:lineRule="exact"/>
        <w:rPr>
          <w:sz w:val="20"/>
          <w:szCs w:val="20"/>
          <w:color w:val="auto"/>
        </w:rPr>
      </w:pPr>
    </w:p>
    <w:p>
      <w:pPr>
        <w:jc w:val="both"/>
        <w:ind w:left="428" w:firstLine="819"/>
        <w:spacing w:after="0" w:line="262" w:lineRule="auto"/>
        <w:rPr>
          <w:sz w:val="20"/>
          <w:szCs w:val="20"/>
          <w:color w:val="auto"/>
        </w:rPr>
      </w:pPr>
      <w:r>
        <w:rPr>
          <w:rFonts w:ascii="Times New Roman" w:cs="Times New Roman" w:eastAsia="Times New Roman" w:hAnsi="Times New Roman"/>
          <w:sz w:val="17"/>
          <w:szCs w:val="17"/>
          <w:color w:val="auto"/>
        </w:rPr>
        <w:t>(B)  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(or such other entity as may be designated by the Trustee for this purpose) solely for the benefit of the Holders, cash in U.S. dollars, non-callable U.S. Government Obligations, or a combination of cash in U.S. dollars and non-callable U.S.</w:t>
      </w:r>
    </w:p>
    <w:p>
      <w:pPr>
        <w:spacing w:after="0" w:line="1" w:lineRule="exact"/>
        <w:rPr>
          <w:sz w:val="20"/>
          <w:szCs w:val="20"/>
          <w:color w:val="auto"/>
        </w:rPr>
      </w:pPr>
    </w:p>
    <w:p>
      <w:pPr>
        <w:ind w:left="428" w:right="240"/>
        <w:spacing w:after="0" w:line="265" w:lineRule="auto"/>
        <w:rPr>
          <w:sz w:val="20"/>
          <w:szCs w:val="20"/>
          <w:color w:val="auto"/>
        </w:rPr>
      </w:pPr>
      <w:r>
        <w:rPr>
          <w:rFonts w:ascii="Times New Roman" w:cs="Times New Roman" w:eastAsia="Times New Roman" w:hAnsi="Times New Roman"/>
          <w:sz w:val="17"/>
          <w:szCs w:val="17"/>
          <w:color w:val="auto"/>
        </w:rPr>
        <w:t>Government Obligations, in amounts as will be sufficient, without consideration of any reinvestment of interest, to pay and discharge the entire Indebtedness on the Notes not delivered to the Trustee for cancellation for principal, premium and Additional Amounts, if any, and accrued interest to but excluding the date of maturity or redemption;</w:t>
      </w:r>
    </w:p>
    <w:p>
      <w:pPr>
        <w:spacing w:after="0" w:line="66" w:lineRule="exact"/>
        <w:rPr>
          <w:sz w:val="20"/>
          <w:szCs w:val="20"/>
          <w:color w:val="auto"/>
        </w:rPr>
      </w:pPr>
    </w:p>
    <w:p>
      <w:pPr>
        <w:ind w:left="428" w:right="340" w:firstLine="409"/>
        <w:spacing w:after="0" w:line="276" w:lineRule="auto"/>
        <w:rPr>
          <w:sz w:val="20"/>
          <w:szCs w:val="20"/>
          <w:color w:val="auto"/>
        </w:rPr>
      </w:pPr>
      <w:r>
        <w:rPr>
          <w:rFonts w:ascii="Times New Roman" w:cs="Times New Roman" w:eastAsia="Times New Roman" w:hAnsi="Times New Roman"/>
          <w:sz w:val="17"/>
          <w:szCs w:val="17"/>
          <w:color w:val="auto"/>
        </w:rPr>
        <w:t>(2)  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is a party or by which the Company is bound;</w:t>
      </w:r>
    </w:p>
    <w:p>
      <w:pPr>
        <w:spacing w:after="0" w:line="57"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7"/>
          <w:szCs w:val="17"/>
          <w:color w:val="auto"/>
        </w:rPr>
        <w:t>(3)   the Company has paid or caused to be paid all sums payable by it under this Indenture; and</w:t>
      </w:r>
    </w:p>
    <w:p>
      <w:pPr>
        <w:spacing w:after="0" w:line="118" w:lineRule="exact"/>
        <w:rPr>
          <w:sz w:val="20"/>
          <w:szCs w:val="20"/>
          <w:color w:val="auto"/>
        </w:rPr>
      </w:pPr>
    </w:p>
    <w:p>
      <w:pPr>
        <w:ind w:left="428" w:right="540" w:firstLine="409"/>
        <w:spacing w:after="0" w:line="295" w:lineRule="auto"/>
        <w:rPr>
          <w:sz w:val="20"/>
          <w:szCs w:val="20"/>
          <w:color w:val="auto"/>
        </w:rPr>
      </w:pPr>
      <w:r>
        <w:rPr>
          <w:rFonts w:ascii="Times New Roman" w:cs="Times New Roman" w:eastAsia="Times New Roman" w:hAnsi="Times New Roman"/>
          <w:sz w:val="17"/>
          <w:szCs w:val="17"/>
          <w:color w:val="auto"/>
        </w:rPr>
        <w:t>(4)  the Company has delivered irrevocable instructions to the Trustee under this Indenture to apply the deposited money toward the payment of the Notes at maturity or on the redemption date, as the case may be.</w:t>
      </w:r>
    </w:p>
    <w:p>
      <w:pPr>
        <w:spacing w:after="0" w:line="147" w:lineRule="exact"/>
        <w:rPr>
          <w:sz w:val="20"/>
          <w:szCs w:val="20"/>
          <w:color w:val="auto"/>
        </w:rPr>
      </w:pPr>
    </w:p>
    <w:p>
      <w:pPr>
        <w:ind w:left="8" w:right="700"/>
        <w:spacing w:after="0" w:line="295" w:lineRule="auto"/>
        <w:rPr>
          <w:sz w:val="20"/>
          <w:szCs w:val="20"/>
          <w:color w:val="auto"/>
        </w:rPr>
      </w:pPr>
      <w:r>
        <w:rPr>
          <w:rFonts w:ascii="Times New Roman" w:cs="Times New Roman" w:eastAsia="Times New Roman" w:hAnsi="Times New Roman"/>
          <w:sz w:val="17"/>
          <w:szCs w:val="17"/>
          <w:color w:val="auto"/>
        </w:rPr>
        <w:t>In addition, the Company must deliver an Officer’s Certificate and an Opinion of Counsel to the Trustee stating that all conditions precedent to satisfaction and discharge have been satisfied.</w:t>
      </w:r>
    </w:p>
    <w:p>
      <w:pPr>
        <w:spacing w:after="0" w:line="14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Notwithstanding the satisfaction and discharge of this Indenture, if money has been deposited with the Trustee pursuant to subclause (B) of clause</w:t>
      </w:r>
    </w:p>
    <w:p>
      <w:pPr>
        <w:spacing w:after="0" w:line="32" w:lineRule="exact"/>
        <w:rPr>
          <w:sz w:val="20"/>
          <w:szCs w:val="20"/>
          <w:color w:val="auto"/>
        </w:rPr>
      </w:pPr>
    </w:p>
    <w:p>
      <w:pPr>
        <w:ind w:left="5248" w:right="4580" w:hanging="5248"/>
        <w:spacing w:after="0" w:line="449" w:lineRule="auto"/>
        <w:tabs>
          <w:tab w:leader="none" w:pos="25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12.01, the provisions of Sections 12.02 and 8.06 hereof will survive. 54</w:t>
      </w:r>
    </w:p>
    <w:p>
      <w:pPr>
        <w:sectPr>
          <w:pgSz w:w="11900" w:h="16838" w:orient="portrait"/>
          <w:cols w:equalWidth="0" w:num="1">
            <w:col w:w="10648"/>
          </w:cols>
          <w:pgMar w:left="612" w:top="264" w:right="639" w:bottom="1440" w:gutter="0" w:footer="0" w:header="0"/>
        </w:sectPr>
      </w:pPr>
    </w:p>
    <w:bookmarkStart w:id="353" w:name="page354"/>
    <w:bookmarkEnd w:id="353"/>
    <w:p>
      <w:pPr>
        <w:ind w:left="4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12.02   Application of Trust Money.</w:t>
      </w:r>
    </w:p>
    <w:p>
      <w:pPr>
        <w:spacing w:after="0" w:line="120"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Additional Amounts, if any) and interest for whose payment such money has been deposited with the Trustee; but such money need not be segregated from other funds except to the extent required by law.</w:t>
      </w:r>
    </w:p>
    <w:p>
      <w:pPr>
        <w:spacing w:after="0" w:line="171" w:lineRule="exact"/>
        <w:rPr>
          <w:sz w:val="20"/>
          <w:szCs w:val="20"/>
          <w:color w:val="auto"/>
        </w:rPr>
      </w:pPr>
    </w:p>
    <w:p>
      <w:pPr>
        <w:ind w:right="100" w:firstLine="426"/>
        <w:spacing w:after="0" w:line="263" w:lineRule="auto"/>
        <w:rPr>
          <w:sz w:val="20"/>
          <w:szCs w:val="20"/>
          <w:color w:val="auto"/>
        </w:rPr>
      </w:pPr>
      <w:r>
        <w:rPr>
          <w:rFonts w:ascii="Times New Roman" w:cs="Times New Roman" w:eastAsia="Times New Roman" w:hAnsi="Times New Roman"/>
          <w:sz w:val="17"/>
          <w:szCs w:val="17"/>
          <w:color w:val="auto"/>
        </w:rPr>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Company has made any payment of principal of, premium or Additional Amounts,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ARTICLE 13</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MISCELLANEOUS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13.01 [Intentionally Omitted].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13.02 Notices.</w:t>
      </w:r>
    </w:p>
    <w:p>
      <w:pPr>
        <w:spacing w:after="0" w:line="120" w:lineRule="exact"/>
        <w:rPr>
          <w:sz w:val="20"/>
          <w:szCs w:val="20"/>
          <w:color w:val="auto"/>
        </w:rPr>
      </w:pPr>
    </w:p>
    <w:p>
      <w:pPr>
        <w:ind w:right="140" w:firstLine="426"/>
        <w:spacing w:after="0" w:line="276" w:lineRule="auto"/>
        <w:rPr>
          <w:sz w:val="20"/>
          <w:szCs w:val="20"/>
          <w:color w:val="auto"/>
        </w:rPr>
      </w:pPr>
      <w:r>
        <w:rPr>
          <w:rFonts w:ascii="Times New Roman" w:cs="Times New Roman" w:eastAsia="Times New Roman" w:hAnsi="Times New Roman"/>
          <w:sz w:val="17"/>
          <w:szCs w:val="17"/>
          <w:color w:val="auto"/>
        </w:rPr>
        <w:t>Any notice or communication by the Company or the Trustee to the others is duly given if in writing, in the English language, and delivered in Person or by first class mail (registered or certified, return receipt requested), facsimile transmission or overnight air courier guaranteeing next day delivery, to the others’ address: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 Intertrust SPV (Cayman) Limited</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One Nexus Way, Camana Bay</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Grand Cayman KY1-9005</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Cayman Islands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with a copy to:</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Melco Resorts &amp; Entertainment Limited</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37/F, The Centrium</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60 Wyndham Street</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Central, Hong Kong</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Facsimile No.: +852 2537 3618</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Attention: Company Secretary</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9 Raffles Place</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#42-02 Republic Plaza</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Singapore 048619</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Facsimile No.: +65 6536 1171</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Attention: Stacey Wong</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500"/>
          </w:cols>
          <w:pgMar w:left="620" w:top="263" w:right="779" w:bottom="1440" w:gutter="0" w:footer="0" w:header="0"/>
        </w:sectPr>
      </w:pPr>
    </w:p>
    <w:bookmarkStart w:id="354" w:name="page355"/>
    <w:bookmarkEnd w:id="354"/>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to the Trustee, Paying Agent, Transfer Agent or Registrar: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Trust and Securities Services</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 Columbus Circle, 4th Floor</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Mail Stop: NYC01-0417</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USA</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Attn: Corporates Team</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Melco Resorts Finance, Deal ID: AA8266</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Facsimile: +1 732 578 4635</w:t>
      </w:r>
    </w:p>
    <w:p>
      <w:pPr>
        <w:spacing w:after="0" w:line="205" w:lineRule="exact"/>
        <w:rPr>
          <w:sz w:val="20"/>
          <w:szCs w:val="20"/>
          <w:color w:val="auto"/>
        </w:rPr>
      </w:pPr>
    </w:p>
    <w:p>
      <w:pPr>
        <w:ind w:right="460" w:firstLine="426"/>
        <w:spacing w:after="0" w:line="295" w:lineRule="auto"/>
        <w:rPr>
          <w:sz w:val="20"/>
          <w:szCs w:val="20"/>
          <w:color w:val="auto"/>
        </w:rPr>
      </w:pPr>
      <w:r>
        <w:rPr>
          <w:rFonts w:ascii="Times New Roman" w:cs="Times New Roman" w:eastAsia="Times New Roman" w:hAnsi="Times New Roman"/>
          <w:sz w:val="17"/>
          <w:szCs w:val="17"/>
          <w:color w:val="auto"/>
        </w:rPr>
        <w:t>The Company, the Trustee and any Agent, by notice to the others, may designate additional or different addresses for subsequent notices or communications.</w:t>
      </w:r>
    </w:p>
    <w:p>
      <w:pPr>
        <w:spacing w:after="0" w:line="147" w:lineRule="exact"/>
        <w:rPr>
          <w:sz w:val="20"/>
          <w:szCs w:val="20"/>
          <w:color w:val="auto"/>
        </w:rPr>
      </w:pPr>
    </w:p>
    <w:p>
      <w:pPr>
        <w:ind w:right="40" w:firstLine="426"/>
        <w:spacing w:after="0" w:line="276" w:lineRule="auto"/>
        <w:rPr>
          <w:sz w:val="20"/>
          <w:szCs w:val="20"/>
          <w:color w:val="auto"/>
        </w:rPr>
      </w:pPr>
      <w:r>
        <w:rPr>
          <w:rFonts w:ascii="Times New Roman" w:cs="Times New Roman" w:eastAsia="Times New Roman" w:hAnsi="Times New Roman"/>
          <w:sz w:val="17"/>
          <w:szCs w:val="17"/>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62" w:lineRule="exact"/>
        <w:rPr>
          <w:sz w:val="20"/>
          <w:szCs w:val="20"/>
          <w:color w:val="auto"/>
        </w:rPr>
      </w:pPr>
    </w:p>
    <w:p>
      <w:pPr>
        <w:ind w:right="220" w:firstLine="426"/>
        <w:spacing w:after="0" w:line="266" w:lineRule="auto"/>
        <w:rPr>
          <w:sz w:val="20"/>
          <w:szCs w:val="20"/>
          <w:color w:val="auto"/>
        </w:rPr>
      </w:pPr>
      <w:r>
        <w:rPr>
          <w:rFonts w:ascii="Times New Roman" w:cs="Times New Roman" w:eastAsia="Times New Roman" w:hAnsi="Times New Roman"/>
          <w:sz w:val="17"/>
          <w:szCs w:val="17"/>
          <w:color w:val="auto"/>
        </w:rPr>
        <w:t>Any notice or communication to a Holder will be mailed by first class mail, certified or registered, return receipt requested, or by overnight air courier guaranteeing next day delivery to its address shown on the register kept by the Registrar. All notices to the Holders (while any Notes are represented solely by one or more Global Notes without any Definitive Notes) shall be delivered to DTC, for communication to entitled account Holders, and any obligation to give notice to the Holders will be discharged upon delivery of such notice to DTC. Failure to mail a notice or communication to a Holder or any defect in it will not affect its sufficiency with respect to other Holders.</w:t>
      </w:r>
    </w:p>
    <w:p>
      <w:pPr>
        <w:spacing w:after="0" w:line="171" w:lineRule="exact"/>
        <w:rPr>
          <w:sz w:val="20"/>
          <w:szCs w:val="20"/>
          <w:color w:val="auto"/>
        </w:rPr>
      </w:pPr>
    </w:p>
    <w:p>
      <w:pPr>
        <w:ind w:right="20" w:firstLine="426"/>
        <w:spacing w:after="0" w:line="295" w:lineRule="auto"/>
        <w:rPr>
          <w:sz w:val="20"/>
          <w:szCs w:val="20"/>
          <w:color w:val="auto"/>
        </w:rPr>
      </w:pPr>
      <w:r>
        <w:rPr>
          <w:rFonts w:ascii="Times New Roman" w:cs="Times New Roman" w:eastAsia="Times New Roman" w:hAnsi="Times New Roman"/>
          <w:sz w:val="17"/>
          <w:szCs w:val="17"/>
          <w:color w:val="auto"/>
        </w:rPr>
        <w:t>If a notice or communication is mailed, or delivered, in the manner provided above within the time prescribed, it is duly given, whether or not the addressee receives it.</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the Company mails, or delivers, a notice or communication to Holders, it will mail, or deliver, a copy to the Trustee and each Agent at the same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13.03   Communication by Holders of Notes with Other Holders of Notes.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Holders may communicate with other Holders with respect to their rights under this Indenture or the Notes.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13.04   Certificate and Opinion as to Conditions Precedent.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Upon any request or application by the Company to the Trustee to take any action under this Indenture, the Company shall furnish to the Trustee:</w:t>
      </w:r>
    </w:p>
    <w:p>
      <w:pPr>
        <w:spacing w:after="0" w:line="118" w:lineRule="exact"/>
        <w:rPr>
          <w:sz w:val="20"/>
          <w:szCs w:val="20"/>
          <w:color w:val="auto"/>
        </w:rPr>
      </w:pPr>
    </w:p>
    <w:p>
      <w:pPr>
        <w:ind w:left="420" w:right="260" w:firstLine="409"/>
        <w:spacing w:after="0" w:line="276" w:lineRule="auto"/>
        <w:rPr>
          <w:sz w:val="20"/>
          <w:szCs w:val="20"/>
          <w:color w:val="auto"/>
        </w:rPr>
      </w:pPr>
      <w:r>
        <w:rPr>
          <w:rFonts w:ascii="Times New Roman" w:cs="Times New Roman" w:eastAsia="Times New Roman" w:hAnsi="Times New Roman"/>
          <w:sz w:val="17"/>
          <w:szCs w:val="17"/>
          <w:color w:val="auto"/>
        </w:rPr>
        <w:t>(1)  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57" w:lineRule="exact"/>
        <w:rPr>
          <w:sz w:val="20"/>
          <w:szCs w:val="20"/>
          <w:color w:val="auto"/>
        </w:rPr>
      </w:pPr>
    </w:p>
    <w:p>
      <w:pPr>
        <w:ind w:left="420" w:right="280" w:firstLine="409"/>
        <w:spacing w:after="0" w:line="295" w:lineRule="auto"/>
        <w:rPr>
          <w:sz w:val="20"/>
          <w:szCs w:val="20"/>
          <w:color w:val="auto"/>
        </w:rPr>
      </w:pPr>
      <w:r>
        <w:rPr>
          <w:rFonts w:ascii="Times New Roman" w:cs="Times New Roman" w:eastAsia="Times New Roman" w:hAnsi="Times New Roman"/>
          <w:sz w:val="17"/>
          <w:szCs w:val="17"/>
          <w:color w:val="auto"/>
        </w:rPr>
        <w:t>(2)  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13.05   Statements Required in Certificate or Opinion.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Each certificate or opinion with respect to compliance with a condition or covenant provided for in this Indenture must include: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(1)   a statement that the Person making such certificate or opinion has read such covenant or condition;</w:t>
      </w:r>
    </w:p>
    <w:p>
      <w:pPr>
        <w:spacing w:after="0" w:line="1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580"/>
          </w:cols>
          <w:pgMar w:left="620" w:top="265" w:right="699" w:bottom="1440" w:gutter="0" w:footer="0" w:header="0"/>
        </w:sectPr>
      </w:pPr>
    </w:p>
    <w:bookmarkStart w:id="355" w:name="page356"/>
    <w:bookmarkEnd w:id="355"/>
    <w:p>
      <w:pPr>
        <w:ind w:left="420" w:right="300"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  a brief statement as to the nature and scope of the examination or investigation upon which the statements or opinions contained in such certificate or opinion are based;</w:t>
      </w:r>
    </w:p>
    <w:p>
      <w:pPr>
        <w:spacing w:after="0" w:line="42" w:lineRule="exact"/>
        <w:rPr>
          <w:sz w:val="20"/>
          <w:szCs w:val="20"/>
          <w:color w:val="auto"/>
        </w:rPr>
      </w:pPr>
    </w:p>
    <w:p>
      <w:pPr>
        <w:ind w:left="420" w:right="140" w:firstLine="409"/>
        <w:spacing w:after="0" w:line="295" w:lineRule="auto"/>
        <w:rPr>
          <w:sz w:val="20"/>
          <w:szCs w:val="20"/>
          <w:color w:val="auto"/>
        </w:rPr>
      </w:pPr>
      <w:r>
        <w:rPr>
          <w:rFonts w:ascii="Times New Roman" w:cs="Times New Roman" w:eastAsia="Times New Roman" w:hAnsi="Times New Roman"/>
          <w:sz w:val="17"/>
          <w:szCs w:val="17"/>
          <w:color w:val="auto"/>
        </w:rPr>
        <w:t>(3)  a statement that, in the opinion of such Person, he or she has made such examination or investigation as is necessary to enable him or her to express an informed opinion as to whether or not such covenant or condition has been satisfied; and</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(4)   a statement as to whether or not, in the opinion of such Person, such condition or covenant has been satisfied.</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13.06   Rules by Trustee and Agents.</w:t>
      </w:r>
    </w:p>
    <w:p>
      <w:pPr>
        <w:spacing w:after="0" w:line="120" w:lineRule="exact"/>
        <w:rPr>
          <w:sz w:val="20"/>
          <w:szCs w:val="20"/>
          <w:color w:val="auto"/>
        </w:rPr>
      </w:pPr>
    </w:p>
    <w:p>
      <w:pPr>
        <w:ind w:right="520" w:firstLine="426"/>
        <w:spacing w:after="0" w:line="295" w:lineRule="auto"/>
        <w:rPr>
          <w:sz w:val="20"/>
          <w:szCs w:val="20"/>
          <w:color w:val="auto"/>
        </w:rPr>
      </w:pPr>
      <w:r>
        <w:rPr>
          <w:rFonts w:ascii="Times New Roman" w:cs="Times New Roman" w:eastAsia="Times New Roman" w:hAnsi="Times New Roman"/>
          <w:sz w:val="17"/>
          <w:szCs w:val="17"/>
          <w:color w:val="auto"/>
        </w:rPr>
        <w:t>The Trustee may make reasonable rules for action by or at a meeting of Holders. The Registrar, Transfer Agent or Paying Agent may make reasonable rules and set reasonable requirements for its functions.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13.07   No Personal Liability of Directors, Officers, Employees and Stockholders.</w:t>
      </w:r>
    </w:p>
    <w:p>
      <w:pPr>
        <w:spacing w:after="0" w:line="120" w:lineRule="exact"/>
        <w:rPr>
          <w:sz w:val="20"/>
          <w:szCs w:val="20"/>
          <w:color w:val="auto"/>
        </w:rPr>
      </w:pPr>
    </w:p>
    <w:p>
      <w:pPr>
        <w:ind w:right="20" w:firstLine="426"/>
        <w:spacing w:after="0" w:line="269" w:lineRule="auto"/>
        <w:rPr>
          <w:sz w:val="20"/>
          <w:szCs w:val="20"/>
          <w:color w:val="auto"/>
        </w:rPr>
      </w:pPr>
      <w:r>
        <w:rPr>
          <w:rFonts w:ascii="Times New Roman" w:cs="Times New Roman" w:eastAsia="Times New Roman" w:hAnsi="Times New Roman"/>
          <w:sz w:val="17"/>
          <w:szCs w:val="17"/>
          <w:color w:val="auto"/>
        </w:rPr>
        <w:t>No past, present or future director, officer, employee, incorporator or stockholder of the Company, as such, will have any liability for any obligations of the Company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13.08   Governing Law.</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LAWS OF THE STATE OF NEW YORK WILL GOVERN AND BE USED TO CONSTRUE THIS INDENTURE AND THE NOTES.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13.09   No Adverse Interpretation of Other Agreements.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This Indenture may not be used to interpret any other indenture, loan or debt agreement of the Company or its Subsidiaries or of any other Person.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such indenture, loan or debt agreement may not be used to interpret this Indenture.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13.10   Successors.</w:t>
      </w:r>
    </w:p>
    <w:p>
      <w:pPr>
        <w:spacing w:after="0" w:line="120" w:lineRule="exact"/>
        <w:rPr>
          <w:sz w:val="20"/>
          <w:szCs w:val="20"/>
          <w:color w:val="auto"/>
        </w:rPr>
      </w:pPr>
    </w:p>
    <w:p>
      <w:pPr>
        <w:ind w:right="380" w:firstLine="426"/>
        <w:spacing w:after="0" w:line="295" w:lineRule="auto"/>
        <w:rPr>
          <w:sz w:val="20"/>
          <w:szCs w:val="20"/>
          <w:color w:val="auto"/>
        </w:rPr>
      </w:pPr>
      <w:r>
        <w:rPr>
          <w:rFonts w:ascii="Times New Roman" w:cs="Times New Roman" w:eastAsia="Times New Roman" w:hAnsi="Times New Roman"/>
          <w:sz w:val="17"/>
          <w:szCs w:val="17"/>
          <w:color w:val="auto"/>
        </w:rPr>
        <w:t>All agreements of the Company in this Indenture and the Notes will bind its successors. All agreements of the Trustee and each Agent in this Indenture will bind their respective successors.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13.11   Severability.</w:t>
      </w:r>
    </w:p>
    <w:p>
      <w:pPr>
        <w:spacing w:after="0" w:line="120" w:lineRule="exact"/>
        <w:rPr>
          <w:sz w:val="20"/>
          <w:szCs w:val="20"/>
          <w:color w:val="auto"/>
        </w:rPr>
      </w:pPr>
    </w:p>
    <w:p>
      <w:pPr>
        <w:ind w:right="60" w:firstLine="426"/>
        <w:spacing w:after="0" w:line="295" w:lineRule="auto"/>
        <w:rPr>
          <w:sz w:val="20"/>
          <w:szCs w:val="20"/>
          <w:color w:val="auto"/>
        </w:rPr>
      </w:pPr>
      <w:r>
        <w:rPr>
          <w:rFonts w:ascii="Times New Roman" w:cs="Times New Roman" w:eastAsia="Times New Roman" w:hAnsi="Times New Roman"/>
          <w:sz w:val="17"/>
          <w:szCs w:val="17"/>
          <w:color w:val="auto"/>
        </w:rPr>
        <w:t>In case any provision in this Indenture or in the Notes is invalid, illegal or unenforceable, the validity, legality and enforceability of the remaining provisions will not in any way be affected or impaired thereby.</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13.12   Counterpart Originals.</w:t>
      </w:r>
    </w:p>
    <w:p>
      <w:pPr>
        <w:spacing w:after="0" w:line="120" w:lineRule="exact"/>
        <w:rPr>
          <w:sz w:val="20"/>
          <w:szCs w:val="20"/>
          <w:color w:val="auto"/>
        </w:rPr>
      </w:pPr>
    </w:p>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t>The parties may sign any number of copies of this Indenture. Each signed copy will be an original, but all of them together represent the same agreement.</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620"/>
          </w:cols>
          <w:pgMar w:left="620" w:top="265" w:right="659" w:bottom="1440" w:gutter="0" w:footer="0" w:header="0"/>
        </w:sectPr>
      </w:pPr>
    </w:p>
    <w:bookmarkStart w:id="356" w:name="page357"/>
    <w:bookmarkEnd w:id="356"/>
    <w:p>
      <w:pPr>
        <w:ind w:firstLine="426"/>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Facsimile, documents executed, scanned and transmitted electronically and electronic signatures, including those created or transmitted through a software platform or application, shall be deemed original signatures for purposes of this Indenture, and all matters and agreements related thereto (including the Notes), with such facsimile, scanned and electronic signatures having the same legal effect as original signatures. The parties agree that this Indenture, the Notes or any instrument, agreement or document necessary for the consummation of the transactions contemplated by this Indenture, the Notes or related hereto or thereto (including, without limitation, supplements, addendums, amendments, notices, instructions, communications with respect to the delivery of securities or the wire transfer of funds or other communications) (“</w:t>
      </w:r>
      <w:r>
        <w:rPr>
          <w:rFonts w:ascii="Times New Roman" w:cs="Times New Roman" w:eastAsia="Times New Roman" w:hAnsi="Times New Roman"/>
          <w:sz w:val="17"/>
          <w:szCs w:val="17"/>
          <w:i w:val="1"/>
          <w:iCs w:val="1"/>
          <w:color w:val="auto"/>
        </w:rPr>
        <w:t>Executed Documentation</w:t>
      </w:r>
      <w:r>
        <w:rPr>
          <w:rFonts w:ascii="Times New Roman" w:cs="Times New Roman" w:eastAsia="Times New Roman" w:hAnsi="Times New Roman"/>
          <w:sz w:val="17"/>
          <w:szCs w:val="17"/>
          <w:color w:val="auto"/>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any Agent acts on any Executed Documentation sent by electronic transmission, the Trustee or any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or any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any Agent acting on unauthorized instructions and the risk of interception and misuse by third parties.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13.13   Table of Contents, Headings, etc.</w:t>
      </w:r>
    </w:p>
    <w:p>
      <w:pPr>
        <w:spacing w:after="0" w:line="120" w:lineRule="exact"/>
        <w:rPr>
          <w:sz w:val="20"/>
          <w:szCs w:val="20"/>
          <w:color w:val="auto"/>
        </w:rPr>
      </w:pPr>
    </w:p>
    <w:p>
      <w:pPr>
        <w:ind w:right="160" w:firstLine="426"/>
        <w:spacing w:after="0" w:line="295" w:lineRule="auto"/>
        <w:rPr>
          <w:sz w:val="20"/>
          <w:szCs w:val="20"/>
          <w:color w:val="auto"/>
        </w:rPr>
      </w:pPr>
      <w:r>
        <w:rPr>
          <w:rFonts w:ascii="Times New Roman" w:cs="Times New Roman" w:eastAsia="Times New Roman" w:hAnsi="Times New Roman"/>
          <w:sz w:val="17"/>
          <w:szCs w:val="17"/>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13.14   Patriot Act</w:t>
      </w:r>
    </w:p>
    <w:p>
      <w:pPr>
        <w:spacing w:after="0" w:line="120" w:lineRule="exact"/>
        <w:rPr>
          <w:sz w:val="20"/>
          <w:szCs w:val="20"/>
          <w:color w:val="auto"/>
        </w:rPr>
      </w:pPr>
    </w:p>
    <w:p>
      <w:pPr>
        <w:ind w:right="20" w:firstLine="426"/>
        <w:spacing w:after="0" w:line="264" w:lineRule="auto"/>
        <w:rPr>
          <w:sz w:val="20"/>
          <w:szCs w:val="20"/>
          <w:color w:val="auto"/>
        </w:rPr>
      </w:pPr>
      <w:r>
        <w:rPr>
          <w:rFonts w:ascii="Times New Roman" w:cs="Times New Roman" w:eastAsia="Times New Roman" w:hAnsi="Times New Roman"/>
          <w:sz w:val="17"/>
          <w:szCs w:val="17"/>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17"/>
          <w:szCs w:val="17"/>
          <w:i w:val="1"/>
          <w:iCs w:val="1"/>
          <w:color w:val="auto"/>
        </w:rPr>
        <w:t>Applicable Law</w:t>
      </w:r>
      <w:r>
        <w:rPr>
          <w:rFonts w:ascii="Times New Roman" w:cs="Times New Roman" w:eastAsia="Times New Roman" w:hAnsi="Times New Roman"/>
          <w:sz w:val="17"/>
          <w:szCs w:val="17"/>
          <w:color w:val="auto"/>
        </w:rPr>
        <w:t>”), the Trustee and Agents are required to obtain, verify, record and update certain information relating to individuals and entities which maintain a business relationship with the Trustee and Agents. Accordingly, each of the parties hereto agrees to provide to the Trustee and Agents, upon their request from time to time such identifying information and documentation as may be available for such party in order to enable the Trustee and Agents to comply with Applicable Law.</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Section 13.15   Submission to Jurisdiction; Waiver of Jury Trial</w:t>
      </w:r>
    </w:p>
    <w:p>
      <w:pPr>
        <w:spacing w:after="0" w:line="120" w:lineRule="exact"/>
        <w:rPr>
          <w:sz w:val="20"/>
          <w:szCs w:val="20"/>
          <w:color w:val="auto"/>
        </w:rPr>
      </w:pPr>
    </w:p>
    <w:p>
      <w:pPr>
        <w:ind w:right="60" w:firstLine="426"/>
        <w:spacing w:after="0" w:line="259" w:lineRule="auto"/>
        <w:rPr>
          <w:sz w:val="20"/>
          <w:szCs w:val="20"/>
          <w:color w:val="auto"/>
        </w:rPr>
      </w:pPr>
      <w:r>
        <w:rPr>
          <w:rFonts w:ascii="Times New Roman" w:cs="Times New Roman" w:eastAsia="Times New Roman" w:hAnsi="Times New Roman"/>
          <w:sz w:val="17"/>
          <w:szCs w:val="17"/>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INDENTURE,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IRREVOCABLY APPOINTS COGENCY GLOBAL INC., 122 EAST 42ND STREET, 18TH FLOOR, NEW YORK, NY, 10168,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EIGHT YEARS FROM THE DATE OF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660"/>
          </w:cols>
          <w:pgMar w:left="620" w:top="265" w:right="619" w:bottom="1440" w:gutter="0" w:footer="0" w:header="0"/>
        </w:sectPr>
      </w:pPr>
    </w:p>
    <w:bookmarkStart w:id="357" w:name="page358"/>
    <w:bookmarkEnd w:id="357"/>
    <w:p>
      <w:pPr>
        <w:ind w:firstLine="426"/>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PARTY HERETO HEREBY WAIVES ITS RIGHTS TO A JURY TRIAL OF ANY CLAIM OR CAUSE OF ACTION BASED UPON OR ARISING OUT OF THIS INDENTURE, THE NOTES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[Signatures on following page]</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600"/>
          </w:cols>
          <w:pgMar w:left="620" w:top="265" w:right="679" w:bottom="1440" w:gutter="0" w:footer="0" w:header="0"/>
        </w:sectPr>
      </w:pPr>
    </w:p>
    <w:bookmarkStart w:id="358" w:name="page359"/>
    <w:bookmarkEnd w:id="358"/>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Dated as of </w:t>
      </w:r>
      <w:r>
        <w:rPr>
          <w:rFonts w:ascii="Times New Roman" w:cs="Times New Roman" w:eastAsia="Times New Roman" w:hAnsi="Times New Roman"/>
          <w:sz w:val="17"/>
          <w:szCs w:val="17"/>
          <w:u w:val="single" w:color="auto"/>
          <w:color w:val="auto"/>
        </w:rPr>
        <w:t>September 24, 2025</w:t>
      </w:r>
    </w:p>
    <w:p>
      <w:pPr>
        <w:spacing w:after="0" w:line="24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b w:val="1"/>
          <w:bCs w:val="1"/>
          <w:color w:val="auto"/>
        </w:rPr>
        <w:t>The Company</w:t>
      </w:r>
    </w:p>
    <w:p>
      <w:pPr>
        <w:spacing w:after="0" w:line="219"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223" w:lineRule="exact"/>
        <w:rPr>
          <w:sz w:val="20"/>
          <w:szCs w:val="20"/>
          <w:color w:val="auto"/>
        </w:rPr>
      </w:pPr>
    </w:p>
    <w:tbl>
      <w:tblPr>
        <w:tblLayout w:type="fixed"/>
        <w:tblInd w:w="6400" w:type="dxa"/>
        <w:tblCellMar>
          <w:top w:w="0" w:type="dxa"/>
          <w:left w:w="0" w:type="dxa"/>
          <w:bottom w:w="0" w:type="dxa"/>
          <w:right w:w="0" w:type="dxa"/>
        </w:tblCellMar>
      </w:tblPr>
      <w:tr>
        <w:trPr>
          <w:trHeight w:val="22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 Chung Yuk Man</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2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continue"/>
          </w:tcPr>
          <w:p>
            <w:pPr>
              <w:spacing w:after="0"/>
              <w:rPr>
                <w:sz w:val="17"/>
                <w:szCs w:val="17"/>
                <w:color w:val="auto"/>
              </w:rPr>
            </w:pP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Chung Yuk Man</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Indenture]</w:t>
      </w:r>
    </w:p>
    <w:p>
      <w:pPr>
        <w:sectPr>
          <w:pgSz w:w="11900" w:h="16838" w:orient="portrait"/>
          <w:cols w:equalWidth="0" w:num="1">
            <w:col w:w="10660"/>
          </w:cols>
          <w:pgMar w:left="620" w:top="264" w:right="619" w:bottom="1440" w:gutter="0" w:footer="0" w:header="0"/>
        </w:sectPr>
      </w:pPr>
    </w:p>
    <w:bookmarkStart w:id="359" w:name="page360"/>
    <w:bookmarkEnd w:id="359"/>
    <w:p>
      <w:pPr>
        <w:ind w:left="55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DEUTSCHE BANK TRUST COMPANY AMERICAS,</w:t>
      </w:r>
    </w:p>
    <w:p>
      <w:pPr>
        <w:spacing w:after="0" w:line="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as Trustee</w:t>
      </w:r>
    </w:p>
    <w:p>
      <w:pPr>
        <w:spacing w:after="0" w:line="205" w:lineRule="exact"/>
        <w:rPr>
          <w:sz w:val="20"/>
          <w:szCs w:val="20"/>
          <w:color w:val="auto"/>
        </w:rPr>
      </w:pPr>
    </w:p>
    <w:tbl>
      <w:tblPr>
        <w:tblLayout w:type="fixed"/>
        <w:tblInd w:w="558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Rodney Gaughan</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Rodney Gaughan</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 Niesz</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Chris Niesz</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as Paying Agent, Registrar and Transfer Agent</w:t>
      </w:r>
    </w:p>
    <w:p>
      <w:pPr>
        <w:spacing w:after="0" w:line="205" w:lineRule="exact"/>
        <w:rPr>
          <w:sz w:val="20"/>
          <w:szCs w:val="20"/>
          <w:color w:val="auto"/>
        </w:rPr>
      </w:pPr>
    </w:p>
    <w:tbl>
      <w:tblPr>
        <w:tblLayout w:type="fixed"/>
        <w:tblInd w:w="558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Rodney Gaughan</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Rodney Gaughan</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 Niesz</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Chris Niesz</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3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i w:val="1"/>
          <w:iCs w:val="1"/>
          <w:color w:val="auto"/>
        </w:rPr>
        <w:t>[Signature page to Indenture]</w:t>
      </w:r>
    </w:p>
    <w:p>
      <w:pPr>
        <w:sectPr>
          <w:pgSz w:w="11900" w:h="16838" w:orient="portrait"/>
          <w:cols w:equalWidth="0" w:num="1">
            <w:col w:w="9840"/>
          </w:cols>
          <w:pgMar w:left="1440" w:top="264" w:right="61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6771640"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6771640" cy="165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4000"/>
        <w:spacing w:after="0" w:line="554" w:lineRule="auto"/>
        <w:rPr>
          <w:sz w:val="20"/>
          <w:szCs w:val="20"/>
          <w:color w:val="auto"/>
        </w:rPr>
      </w:pPr>
      <w:r>
        <w:rPr>
          <w:rFonts w:ascii="Times New Roman" w:cs="Times New Roman" w:eastAsia="Times New Roman" w:hAnsi="Times New Roman"/>
          <w:sz w:val="17"/>
          <w:szCs w:val="17"/>
          <w:i w:val="1"/>
          <w:iCs w:val="1"/>
          <w:color w:val="auto"/>
        </w:rPr>
        <w:t>[Insert the Global Note Legend, if applicable pursuant to the provisions of the Indenture] [Insert the Private Placement Legend, if applicable pursuant to the provisions of the Indenture]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00" w:type="dxa"/>
            <w:vAlign w:val="bottom"/>
          </w:tcPr>
          <w:p>
            <w:pPr>
              <w:ind w:left="51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CUSIP:</w:t>
            </w:r>
          </w:p>
        </w:tc>
      </w:tr>
      <w:tr>
        <w:trPr>
          <w:trHeight w:val="209"/>
        </w:trPr>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00" w:type="dxa"/>
            <w:vAlign w:val="bottom"/>
          </w:tcPr>
          <w:p>
            <w:pPr>
              <w:ind w:left="51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ISIN:</w:t>
            </w:r>
          </w:p>
        </w:tc>
      </w:tr>
      <w:tr>
        <w:trPr>
          <w:trHeight w:val="229"/>
        </w:trPr>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00" w:type="dxa"/>
            <w:vAlign w:val="bottom"/>
          </w:tcPr>
          <w:p>
            <w:pPr>
              <w:ind w:left="51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COMMON CODE:</w:t>
            </w:r>
          </w:p>
        </w:tc>
      </w:tr>
      <w:tr>
        <w:trPr>
          <w:trHeight w:val="418"/>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60" w:type="dxa"/>
            <w:vAlign w:val="bottom"/>
            <w:gridSpan w:val="3"/>
          </w:tcPr>
          <w:p>
            <w:pPr>
              <w:ind w:left="3460"/>
              <w:spacing w:after="0"/>
              <w:rPr>
                <w:sz w:val="20"/>
                <w:szCs w:val="20"/>
                <w:color w:val="auto"/>
              </w:rPr>
            </w:pPr>
            <w:r>
              <w:rPr>
                <w:rFonts w:ascii="Times New Roman" w:cs="Times New Roman" w:eastAsia="Times New Roman" w:hAnsi="Times New Roman"/>
                <w:sz w:val="17"/>
                <w:szCs w:val="17"/>
                <w:color w:val="auto"/>
              </w:rPr>
              <w:t>6.500% Senior Notes due 2033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6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No.       </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 xml:space="preserve">US$       </w:t>
            </w:r>
          </w:p>
        </w:tc>
      </w:tr>
      <w:tr>
        <w:trPr>
          <w:trHeight w:val="20"/>
        </w:trPr>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22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7"/>
          <w:szCs w:val="17"/>
          <w:color w:val="auto"/>
        </w:rPr>
        <w:t>Promises to pay to Cede &amp; Co. or its registered assigns, the principal sum of US$      [</w:t>
      </w:r>
      <w:r>
        <w:rPr>
          <w:rFonts w:ascii="Times New Roman" w:cs="Times New Roman" w:eastAsia="Times New Roman" w:hAnsi="Times New Roman"/>
          <w:sz w:val="17"/>
          <w:szCs w:val="17"/>
          <w:i w:val="1"/>
          <w:iCs w:val="1"/>
          <w:color w:val="auto"/>
        </w:rPr>
        <w:t>NUMBER IN WORDS</w:t>
      </w:r>
      <w:r>
        <w:rPr>
          <w:rFonts w:ascii="Times New Roman" w:cs="Times New Roman" w:eastAsia="Times New Roman" w:hAnsi="Times New Roman"/>
          <w:sz w:val="17"/>
          <w:szCs w:val="17"/>
          <w:color w:val="auto"/>
        </w:rPr>
        <w:t xml:space="preserve"> U.S. DOLLARS] on September 24,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-17780</wp:posOffset>
            </wp:positionV>
            <wp:extent cx="3321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33210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 March 24 and September 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Dates: March 9 and September 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-3810</wp:posOffset>
            </wp:positionV>
            <wp:extent cx="3321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332105"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-3810</wp:posOffset>
            </wp:positionV>
            <wp:extent cx="1104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0660"/>
          </w:cols>
          <w:pgMar w:left="620" w:top="265" w:right="619" w:bottom="1440" w:gutter="0" w:footer="0" w:header="0"/>
        </w:sectPr>
      </w:pPr>
    </w:p>
    <w:bookmarkStart w:id="361" w:name="page362"/>
    <w:bookmarkEnd w:id="361"/>
    <w:p>
      <w:pPr>
        <w:ind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 the Company has caused this Note to be signed manually or by facsimile by the duly authorized officer referred to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-3810</wp:posOffset>
            </wp:positionV>
            <wp:extent cx="7740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MELCO RESORTS FINANCE LIMITED, as Company</w:t>
      </w:r>
    </w:p>
    <w:p>
      <w:pPr>
        <w:spacing w:after="0" w:line="2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20320</wp:posOffset>
            </wp:positionV>
            <wp:extent cx="23736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320"/>
          </w:cols>
          <w:pgMar w:left="620" w:top="265" w:right="959" w:bottom="1440" w:gutter="0" w:footer="0" w:header="0"/>
        </w:sectPr>
      </w:pPr>
    </w:p>
    <w:bookmarkStart w:id="362" w:name="page363"/>
    <w:bookmarkEnd w:id="362"/>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Certificate of Authentication</w:t>
      </w:r>
    </w:p>
    <w:p>
      <w:pPr>
        <w:spacing w:after="0" w:line="225"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7"/>
          <w:szCs w:val="17"/>
          <w:color w:val="auto"/>
        </w:rPr>
        <w:t>This is one of the Notes referred to in the within-mentioned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-3810</wp:posOffset>
            </wp:positionV>
            <wp:extent cx="8293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2">
                      <a:extLst>
                        <a:ext uri="{28A0092B-C50C-407E-A947-70E740481C1C}"/>
                      </a:extLst>
                    </a:blip>
                    <a:srcRect/>
                    <a:stretch>
                      <a:fillRect/>
                    </a:stretch>
                  </pic:blipFill>
                  <pic:spPr bwMode="auto">
                    <a:xfrm>
                      <a:off x="0" y="0"/>
                      <a:ext cx="82931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DEUTSCHE BANK TRUST COMPANY AMERICAS, as Trustee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3810</wp:posOffset>
            </wp:positionV>
            <wp:extent cx="27635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3">
                      <a:extLst>
                        <a:ext uri="{28A0092B-C50C-407E-A947-70E740481C1C}"/>
                      </a:extLst>
                    </a:blip>
                    <a:srcRect/>
                    <a:stretch>
                      <a:fillRect/>
                    </a:stretch>
                  </pic:blipFill>
                  <pic:spPr bwMode="auto">
                    <a:xfrm>
                      <a:off x="0" y="0"/>
                      <a:ext cx="2763520" cy="825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Title:</w:t>
      </w:r>
    </w:p>
    <w:p>
      <w:pPr>
        <w:spacing w:after="0" w:line="1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9839"/>
          </w:cols>
          <w:pgMar w:left="620" w:top="262" w:right="1440" w:bottom="1440" w:gutter="0" w:footer="0" w:header="0"/>
        </w:sectPr>
      </w:pPr>
    </w:p>
    <w:bookmarkStart w:id="363" w:name="page364"/>
    <w:bookmarkEnd w:id="363"/>
    <w:p>
      <w:pPr>
        <w:jc w:val="center"/>
        <w:ind w:right="8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[Back of Note]</w:t>
      </w:r>
    </w:p>
    <w:p>
      <w:pPr>
        <w:spacing w:after="0" w:line="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6.500% Senior Notes due 2033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terms used herein have the meanings assigned to them in the Indenture referred to below unless otherwise indicated.</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Melco Resorts Finance Limited, a Cayman Islands exempted company with limited liability incorporated under the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laws of the Cayman Islands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promises to pay or cause to be paid interest on the principal amount of this Note at 6.500%</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per annum from [●], 20[●] until maturity. The Company will pay interest and Additional Amounts, if any, semi-annually in arrears on</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March 24 and September 24 of each year, or if any such day is not a Business Day, on the next succeeding Business Day (each, an</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Interest Payment Date</w:t>
      </w:r>
      <w:r>
        <w:rPr>
          <w:rFonts w:ascii="Times New Roman" w:cs="Times New Roman" w:eastAsia="Times New Roman" w:hAnsi="Times New Roman"/>
          <w:sz w:val="17"/>
          <w:szCs w:val="17"/>
          <w:color w:val="auto"/>
        </w:rPr>
        <w:t>”). Interest on the Notes will accrue from the most recent date to which interest has been paid or, if no interest has</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 xml:space="preserve">been paid, from the date of issuance;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this Note is authenticated between a record date referred to on the face hereof and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 xml:space="preserve">next succeeding Interest Payment Date, interest shall accrue from such next succeeding Interest Payment Date;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first Interest Payment Date shall be [●], 20[●]. The Company will pay interest (including post-petition interest in any proceeding under</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any Bankruptcy Law) on overdue principal and premium, if any, at the rate equal to 1% per annum in excess of the then applicable interest</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rate on the Notes to the extent lawful; it will pay interest (including post-petition interest in any proceeding under any Bankruptcy Law) on</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overdue installments of interest and Additional Amounts (without regard to any applicable grace period) at the same rate to the extent</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lawful. Interest will be computed on the basis of a 360-day year comprising twelve 30-day months.</w:t>
      </w:r>
    </w:p>
    <w:p>
      <w:pPr>
        <w:spacing w:after="0" w:line="98" w:lineRule="exact"/>
        <w:rPr>
          <w:sz w:val="20"/>
          <w:szCs w:val="20"/>
          <w:color w:val="auto"/>
        </w:rPr>
      </w:pPr>
    </w:p>
    <w:p>
      <w:pPr>
        <w:ind w:left="140" w:right="100" w:firstLine="388"/>
        <w:spacing w:after="0" w:line="260"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METHOD OF PAYMENT</w:t>
      </w:r>
      <w:r>
        <w:rPr>
          <w:rFonts w:ascii="Times New Roman" w:cs="Times New Roman" w:eastAsia="Times New Roman" w:hAnsi="Times New Roman"/>
          <w:sz w:val="17"/>
          <w:szCs w:val="17"/>
          <w:color w:val="auto"/>
        </w:rPr>
        <w:t xml:space="preserve">. The Company will pay interest on the Notes (except defaulted interest) and Additional Amounts, if any, to the Persons who are registered Holders of Notes at the close of business on March 9 or September 9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 set forth in the register of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payment by wire transfer of immediately available funds will be required with respect to principal of and interest, premium and Additional Amounts, if any, on, all Global Notes and all other Notes, the Holders of which will have provided wire transfer instructions to the Company or the Paying Agent, and shall so notify the Trustee and each Paying Agent thereof. Such payment will be in such coin or currency of the United States of America as at the time of payment is legal tender for payment of public and private debts.</w:t>
      </w:r>
    </w:p>
    <w:p>
      <w:pPr>
        <w:spacing w:after="0" w:line="75" w:lineRule="exact"/>
        <w:rPr>
          <w:sz w:val="20"/>
          <w:szCs w:val="20"/>
          <w:color w:val="auto"/>
        </w:rPr>
      </w:pPr>
    </w:p>
    <w:p>
      <w:pPr>
        <w:jc w:val="both"/>
        <w:ind w:left="140" w:right="220" w:firstLine="388"/>
        <w:spacing w:after="0" w:line="277"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4"/>
          <w:szCs w:val="14"/>
          <w:i w:val="1"/>
          <w:iCs w:val="1"/>
          <w:color w:val="auto"/>
        </w:rPr>
        <w:t>AYING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4"/>
          <w:szCs w:val="14"/>
          <w:i w:val="1"/>
          <w:iCs w:val="1"/>
          <w:color w:val="auto"/>
        </w:rPr>
        <w:t>GENT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4"/>
          <w:szCs w:val="14"/>
          <w:i w:val="1"/>
          <w:iCs w:val="1"/>
          <w:color w:val="auto"/>
        </w:rPr>
        <w:t>EGISTRAR</w:t>
      </w:r>
      <w:r>
        <w:rPr>
          <w:rFonts w:ascii="Times New Roman" w:cs="Times New Roman" w:eastAsia="Times New Roman" w:hAnsi="Times New Roman"/>
          <w:sz w:val="17"/>
          <w:szCs w:val="17"/>
          <w:color w:val="auto"/>
        </w:rPr>
        <w:t>. Initially, Deutsche Bank Trust Company Americas will act as Paying Agent, Transfer Agent and Registrar. The Company may change the Paying Agent, Transfer Agent or Registrar without notice to any holders of the Notes. The Company or any of its Subsidiaries may act in any such capacity.</w:t>
      </w:r>
    </w:p>
    <w:p>
      <w:pPr>
        <w:spacing w:after="0" w:line="55" w:lineRule="exact"/>
        <w:rPr>
          <w:sz w:val="20"/>
          <w:szCs w:val="20"/>
          <w:color w:val="auto"/>
        </w:rPr>
      </w:pPr>
    </w:p>
    <w:p>
      <w:pPr>
        <w:ind w:left="140" w:right="80" w:firstLine="388"/>
        <w:spacing w:after="0" w:line="267" w:lineRule="auto"/>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The Company issued the Notes under an Indenture dated as of September 24, 2025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among the Company, the Trustee, the Paying Agent, the Registrar and the Transfer Agent. The terms of the Notes include those stated in the Indenture. The Notes are subject to all such terms, and Holders are referred to the Indenture.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1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9820"/>
          </w:cols>
          <w:pgMar w:left="1440" w:top="264" w:right="639" w:bottom="1440" w:gutter="0" w:footer="0" w:header="0"/>
        </w:sectPr>
      </w:pPr>
    </w:p>
    <w:bookmarkStart w:id="364" w:name="page365"/>
    <w:bookmarkEnd w:id="364"/>
    <w:p>
      <w:pPr>
        <w:ind w:left="5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(5)</w:t>
      </w:r>
      <w:r>
        <w:rPr>
          <w:rFonts w:ascii="Times New Roman" w:cs="Times New Roman" w:eastAsia="Times New Roman" w:hAnsi="Times New Roman"/>
          <w:sz w:val="17"/>
          <w:szCs w:val="17"/>
          <w:i w:val="1"/>
          <w:iCs w:val="1"/>
          <w:color w:val="auto"/>
        </w:rPr>
        <w:t xml:space="preserve">   O</w:t>
      </w:r>
      <w:r>
        <w:rPr>
          <w:rFonts w:ascii="Times New Roman" w:cs="Times New Roman" w:eastAsia="Times New Roman" w:hAnsi="Times New Roman"/>
          <w:sz w:val="14"/>
          <w:szCs w:val="14"/>
          <w:i w:val="1"/>
          <w:iCs w:val="1"/>
          <w:color w:val="auto"/>
        </w:rPr>
        <w:t>PTIONAL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7"/>
          <w:szCs w:val="17"/>
          <w:i w:val="1"/>
          <w:iCs w:val="1"/>
          <w:color w:val="auto"/>
        </w:rPr>
        <w:t>.</w:t>
      </w:r>
    </w:p>
    <w:p>
      <w:pPr>
        <w:spacing w:after="0" w:line="120" w:lineRule="exact"/>
        <w:rPr>
          <w:sz w:val="20"/>
          <w:szCs w:val="20"/>
          <w:color w:val="auto"/>
        </w:rPr>
      </w:pPr>
    </w:p>
    <w:p>
      <w:pPr>
        <w:ind w:left="140" w:right="80" w:firstLine="388"/>
        <w:spacing w:after="0" w:line="264" w:lineRule="auto"/>
        <w:rPr>
          <w:sz w:val="20"/>
          <w:szCs w:val="20"/>
          <w:color w:val="auto"/>
        </w:rPr>
      </w:pPr>
      <w:r>
        <w:rPr>
          <w:rFonts w:ascii="Times New Roman" w:cs="Times New Roman" w:eastAsia="Times New Roman" w:hAnsi="Times New Roman"/>
          <w:sz w:val="17"/>
          <w:szCs w:val="17"/>
          <w:color w:val="auto"/>
        </w:rPr>
        <w:t>(a)  Except as set forth in subparagraphs (b) and (c) of this Paragraph 5, the Company will not have the option to redeem the Notes prior to September 24, 2028. On or after September 24, 2028, the Company may redeem all or a part of the Notes upon not less than 30 nor more than 60 days’ notice, at the redemption prices (expressed as percentages of principal amount) set forth below, plus accrued and unpaid interest, if any, and Additional Amounts if any, on the Notes redeemed, to but excluding the applicable redemption date, if redeemed during the twelve-month period beginning on September 24 of the years indicated below, subject to the rights of Holders on the relevant record date to receive interest on the relevant interest payment date:</w:t>
      </w:r>
    </w:p>
    <w:p>
      <w:pPr>
        <w:spacing w:after="0" w:line="198" w:lineRule="exact"/>
        <w:rPr>
          <w:sz w:val="20"/>
          <w:szCs w:val="20"/>
          <w:color w:val="auto"/>
        </w:rPr>
      </w:pPr>
    </w:p>
    <w:tbl>
      <w:tblPr>
        <w:tblLayout w:type="fixed"/>
        <w:tblInd w:w="140" w:type="dxa"/>
        <w:tblCellMar>
          <w:top w:w="0" w:type="dxa"/>
          <w:left w:w="0" w:type="dxa"/>
          <w:bottom w:w="0" w:type="dxa"/>
          <w:right w:w="0" w:type="dxa"/>
        </w:tblCellMar>
      </w:tblPr>
      <w:tr>
        <w:trPr>
          <w:trHeight w:val="24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46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20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2028</w:t>
            </w:r>
          </w:p>
        </w:tc>
        <w:tc>
          <w:tcPr>
            <w:tcW w:w="6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103.250%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2029</w:t>
            </w:r>
          </w:p>
        </w:tc>
        <w:tc>
          <w:tcPr>
            <w:tcW w:w="6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101.625%</w:t>
            </w:r>
          </w:p>
        </w:tc>
        <w:tc>
          <w:tcPr>
            <w:tcW w:w="720" w:type="dxa"/>
            <w:vAlign w:val="bottom"/>
            <w:vMerge w:val="restart"/>
          </w:tcPr>
          <w:p>
            <w:pPr>
              <w:ind w:left="6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 and thereafter</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100.000%</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40" w:right="120" w:firstLine="388"/>
        <w:spacing w:after="0" w:line="262" w:lineRule="auto"/>
        <w:rPr>
          <w:sz w:val="20"/>
          <w:szCs w:val="20"/>
          <w:color w:val="auto"/>
        </w:rPr>
      </w:pPr>
      <w:r>
        <w:rPr>
          <w:rFonts w:ascii="Times New Roman" w:cs="Times New Roman" w:eastAsia="Times New Roman" w:hAnsi="Times New Roman"/>
          <w:sz w:val="17"/>
          <w:szCs w:val="17"/>
          <w:color w:val="auto"/>
        </w:rPr>
        <w:t>Any such redemption may, at the discretion of the Company,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70" w:lineRule="exact"/>
        <w:rPr>
          <w:sz w:val="20"/>
          <w:szCs w:val="20"/>
          <w:color w:val="auto"/>
        </w:rPr>
      </w:pPr>
    </w:p>
    <w:p>
      <w:pPr>
        <w:ind w:left="140" w:right="280" w:firstLine="388"/>
        <w:spacing w:after="0" w:line="276" w:lineRule="auto"/>
        <w:rPr>
          <w:sz w:val="20"/>
          <w:szCs w:val="20"/>
          <w:color w:val="auto"/>
        </w:rPr>
      </w:pPr>
      <w:r>
        <w:rPr>
          <w:rFonts w:ascii="Times New Roman" w:cs="Times New Roman" w:eastAsia="Times New Roman" w:hAnsi="Times New Roman"/>
          <w:sz w:val="17"/>
          <w:szCs w:val="17"/>
          <w:color w:val="auto"/>
        </w:rPr>
        <w:t>Unless the Company defaults in the payment of the redemption price or fails to satisfy the conditions precedent to the redemption and thereby terminates the redemption, interest will cease to accrue on the Notes or portions thereof called for redemption on the applicable redemption date.</w:t>
      </w:r>
    </w:p>
    <w:p>
      <w:pPr>
        <w:spacing w:after="0" w:line="57" w:lineRule="exact"/>
        <w:rPr>
          <w:sz w:val="20"/>
          <w:szCs w:val="20"/>
          <w:color w:val="auto"/>
        </w:rPr>
      </w:pPr>
    </w:p>
    <w:p>
      <w:pPr>
        <w:ind w:left="140" w:firstLine="388"/>
        <w:spacing w:after="0" w:line="263" w:lineRule="auto"/>
        <w:rPr>
          <w:sz w:val="20"/>
          <w:szCs w:val="20"/>
          <w:color w:val="auto"/>
        </w:rPr>
      </w:pPr>
      <w:r>
        <w:rPr>
          <w:rFonts w:ascii="Times New Roman" w:cs="Times New Roman" w:eastAsia="Times New Roman" w:hAnsi="Times New Roman"/>
          <w:sz w:val="17"/>
          <w:szCs w:val="17"/>
          <w:color w:val="auto"/>
        </w:rPr>
        <w:t xml:space="preserve">(b)  Notwithstanding the provisions of subparagraph (a) of this Paragraph 5, at any time prior to September 24, 2028, the Company may on any one or more occasions redeem up to 35% of the aggregate principal amount of Notes issued under the Indenture at a redemption price equal to 106.500% of the principal amount thereof,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interest and Additional Amounts, if any, to but excluding the redemption date, with the net cash proceeds of one or more Equity Offerings;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least 65% in aggregate principal amount of the Notes originally issued under the Indenture (excluding Notes held by the Company and its Subsidiaries) remains outstanding immediately after the occurrence of such redemption and that such redemption occurs within 45 days of the date of the closing of such Equity Offering.</w:t>
      </w:r>
    </w:p>
    <w:p>
      <w:pPr>
        <w:spacing w:after="0" w:line="283" w:lineRule="exact"/>
        <w:rPr>
          <w:sz w:val="20"/>
          <w:szCs w:val="20"/>
          <w:color w:val="auto"/>
        </w:rPr>
      </w:pPr>
    </w:p>
    <w:p>
      <w:pPr>
        <w:jc w:val="both"/>
        <w:ind w:left="140" w:right="20" w:firstLine="388"/>
        <w:spacing w:after="0" w:line="276" w:lineRule="auto"/>
        <w:rPr>
          <w:sz w:val="20"/>
          <w:szCs w:val="20"/>
          <w:color w:val="auto"/>
        </w:rPr>
      </w:pPr>
      <w:r>
        <w:rPr>
          <w:rFonts w:ascii="Times New Roman" w:cs="Times New Roman" w:eastAsia="Times New Roman" w:hAnsi="Times New Roman"/>
          <w:sz w:val="17"/>
          <w:szCs w:val="17"/>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related Equity Offering.</w:t>
      </w:r>
    </w:p>
    <w:p>
      <w:pPr>
        <w:spacing w:after="0" w:line="57" w:lineRule="exact"/>
        <w:rPr>
          <w:sz w:val="20"/>
          <w:szCs w:val="20"/>
          <w:color w:val="auto"/>
        </w:rPr>
      </w:pPr>
    </w:p>
    <w:p>
      <w:pPr>
        <w:ind w:left="140" w:right="20" w:firstLine="388"/>
        <w:spacing w:after="0" w:line="264" w:lineRule="auto"/>
        <w:rPr>
          <w:sz w:val="20"/>
          <w:szCs w:val="20"/>
          <w:color w:val="auto"/>
        </w:rPr>
      </w:pPr>
      <w:r>
        <w:rPr>
          <w:rFonts w:ascii="Times New Roman" w:cs="Times New Roman" w:eastAsia="Times New Roman" w:hAnsi="Times New Roman"/>
          <w:sz w:val="17"/>
          <w:szCs w:val="17"/>
          <w:color w:val="auto"/>
        </w:rPr>
        <w:t xml:space="preserve">(c)  At any time prior to September 24, 2028, the Company may also redeem all or a part of the Notes, upon not less than 30 nor more than 60 days’ prior notice mailed by first-class mail to each Holder’s registered address, at a redemption price equal to 100% of the principal amount of Notes redeemed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Applicable Premium as of, and accrued and unpaid interest, if any, and Additional Amounts, if any, to but excluding the date of redemption, subject to the rights of Holders on the relevant record date to receive interest due on the relevant interest payment date. Any such redemption and notice may, at the discretion of the Company, be subject to the satisfaction of one or more conditions precedent.</w:t>
      </w:r>
    </w:p>
    <w:p>
      <w:pPr>
        <w:spacing w:after="0" w:line="6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   The Notes may also be redeemed in the circumstances described in Section 3.09 and 3.10 of the Indenture.</w:t>
      </w:r>
    </w:p>
    <w:p>
      <w:pPr>
        <w:spacing w:after="0" w:line="15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9820"/>
          </w:cols>
          <w:pgMar w:left="1440" w:top="262" w:right="639" w:bottom="1440" w:gutter="0" w:footer="0" w:header="0"/>
        </w:sectPr>
      </w:pPr>
    </w:p>
    <w:bookmarkStart w:id="365" w:name="page366"/>
    <w:bookmarkEnd w:id="365"/>
    <w:p>
      <w:pPr>
        <w:ind w:left="140" w:right="20" w:firstLine="388"/>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(6)  </w:t>
      </w:r>
      <w:r>
        <w:rPr>
          <w:rFonts w:ascii="Times New Roman" w:cs="Times New Roman" w:eastAsia="Times New Roman" w:hAnsi="Times New Roman"/>
          <w:sz w:val="17"/>
          <w:szCs w:val="17"/>
          <w:i w:val="1"/>
          <w:iCs w:val="1"/>
          <w:color w:val="auto"/>
        </w:rPr>
        <w:t>M</w:t>
      </w:r>
      <w:r>
        <w:rPr>
          <w:rFonts w:ascii="Times New Roman" w:cs="Times New Roman" w:eastAsia="Times New Roman" w:hAnsi="Times New Roman"/>
          <w:sz w:val="14"/>
          <w:szCs w:val="14"/>
          <w:i w:val="1"/>
          <w:iCs w:val="1"/>
          <w:color w:val="auto"/>
        </w:rPr>
        <w:t>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is not required to make mandatory redemption or sinking fund payments with respect to the Notes.</w:t>
      </w:r>
    </w:p>
    <w:p>
      <w:pPr>
        <w:spacing w:after="0" w:line="37" w:lineRule="exact"/>
        <w:rPr>
          <w:sz w:val="20"/>
          <w:szCs w:val="20"/>
          <w:color w:val="auto"/>
        </w:rPr>
      </w:pPr>
    </w:p>
    <w:p>
      <w:pPr>
        <w:ind w:left="140" w:right="380" w:firstLine="388"/>
        <w:spacing w:after="0" w:line="298"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4"/>
          <w:szCs w:val="14"/>
          <w:i w:val="1"/>
          <w:iCs w:val="1"/>
          <w:color w:val="auto"/>
        </w:rPr>
        <w:t>EPURCHASE AT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w:t>
      </w:r>
      <w:r>
        <w:rPr>
          <w:rFonts w:ascii="Times New Roman" w:cs="Times New Roman" w:eastAsia="Times New Roman" w:hAnsi="Times New Roman"/>
          <w:sz w:val="14"/>
          <w:szCs w:val="14"/>
          <w:i w:val="1"/>
          <w:iCs w:val="1"/>
          <w:color w:val="auto"/>
        </w:rPr>
        <w:t>OLDER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Notes may be subject to a Change of Control Offer or a Special Put Option Offer, as further described in Sections 4.08 and 4.10 of the Indenture.</w:t>
      </w:r>
    </w:p>
    <w:p>
      <w:pPr>
        <w:spacing w:after="0" w:line="37" w:lineRule="exact"/>
        <w:rPr>
          <w:sz w:val="20"/>
          <w:szCs w:val="20"/>
          <w:color w:val="auto"/>
        </w:rPr>
      </w:pPr>
    </w:p>
    <w:p>
      <w:pPr>
        <w:ind w:left="140" w:right="100" w:firstLine="388"/>
        <w:spacing w:after="0" w:line="264" w:lineRule="auto"/>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i w:val="1"/>
          <w:iCs w:val="1"/>
          <w:color w:val="auto"/>
        </w:rPr>
        <w:t>NOTICE OF REDEMPTION</w:t>
      </w:r>
      <w:r>
        <w:rPr>
          <w:rFonts w:ascii="Times New Roman" w:cs="Times New Roman" w:eastAsia="Times New Roman" w:hAnsi="Times New Roman"/>
          <w:sz w:val="17"/>
          <w:szCs w:val="17"/>
          <w:color w:val="auto"/>
        </w:rPr>
        <w:t xml:space="preserve">. Subject to the second paragraph of Paragraph 5(b) above, notice of redemption will be mailed at least 30 days but not more than 60 days before the redemption 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unredeemed part has a minimum denomination of US$200,000, unless all of the Notes held by a Holder are to be redeemed.</w:t>
      </w:r>
    </w:p>
    <w:p>
      <w:pPr>
        <w:spacing w:after="0" w:line="69" w:lineRule="exact"/>
        <w:rPr>
          <w:sz w:val="20"/>
          <w:szCs w:val="20"/>
          <w:color w:val="auto"/>
        </w:rPr>
      </w:pPr>
    </w:p>
    <w:p>
      <w:pPr>
        <w:ind w:left="140" w:firstLine="388"/>
        <w:spacing w:after="0" w:line="263" w:lineRule="auto"/>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4"/>
          <w:szCs w:val="14"/>
          <w:i w:val="1"/>
          <w:iCs w:val="1"/>
          <w:color w:val="auto"/>
        </w:rPr>
        <w:t>ENOMINATIONS</w:t>
      </w:r>
      <w:r>
        <w:rPr>
          <w:rFonts w:ascii="Times New Roman" w:cs="Times New Roman" w:eastAsia="Times New Roman" w:hAnsi="Times New Roman"/>
          <w:sz w:val="17"/>
          <w:szCs w:val="17"/>
          <w:i w:val="1"/>
          <w:iCs w:val="1"/>
          <w:color w:val="auto"/>
        </w:rPr>
        <w:t>, T</w:t>
      </w:r>
      <w:r>
        <w:rPr>
          <w:rFonts w:ascii="Times New Roman" w:cs="Times New Roman" w:eastAsia="Times New Roman" w:hAnsi="Times New Roman"/>
          <w:sz w:val="14"/>
          <w:szCs w:val="14"/>
          <w:i w:val="1"/>
          <w:iCs w:val="1"/>
          <w:color w:val="auto"/>
        </w:rPr>
        <w:t>RANSFER</w:t>
      </w:r>
      <w:r>
        <w:rPr>
          <w:rFonts w:ascii="Times New Roman" w:cs="Times New Roman" w:eastAsia="Times New Roman" w:hAnsi="Times New Roman"/>
          <w:sz w:val="17"/>
          <w:szCs w:val="17"/>
          <w:i w:val="1"/>
          <w:iCs w:val="1"/>
          <w:color w:val="auto"/>
        </w:rPr>
        <w:t>,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7"/>
          <w:szCs w:val="17"/>
          <w:color w:val="auto"/>
        </w:rPr>
        <w:t>. The Notes are in registered form without coupons in denominations of US$200,000 and integral multiples of US$1,000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4"/>
          <w:szCs w:val="14"/>
          <w:i w:val="1"/>
          <w:iCs w:val="1"/>
          <w:color w:val="auto"/>
        </w:rPr>
        <w:t>ERSONS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4"/>
          <w:szCs w:val="14"/>
          <w:i w:val="1"/>
          <w:iCs w:val="1"/>
          <w:color w:val="auto"/>
        </w:rPr>
        <w:t>EEMED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t>
      </w:r>
      <w:r>
        <w:rPr>
          <w:rFonts w:ascii="Times New Roman" w:cs="Times New Roman" w:eastAsia="Times New Roman" w:hAnsi="Times New Roman"/>
          <w:sz w:val="14"/>
          <w:szCs w:val="14"/>
          <w:i w:val="1"/>
          <w:iCs w:val="1"/>
          <w:color w:val="auto"/>
        </w:rPr>
        <w:t>WNERS</w:t>
      </w:r>
      <w:r>
        <w:rPr>
          <w:rFonts w:ascii="Times New Roman" w:cs="Times New Roman" w:eastAsia="Times New Roman" w:hAnsi="Times New Roman"/>
          <w:sz w:val="17"/>
          <w:szCs w:val="17"/>
          <w:color w:val="auto"/>
        </w:rPr>
        <w:t>. The registered Holder may be treated as its owner for all purposes.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4"/>
          <w:szCs w:val="14"/>
          <w:i w:val="1"/>
          <w:iCs w:val="1"/>
          <w:color w:val="auto"/>
        </w:rPr>
        <w:t>MENDMENT</w:t>
      </w:r>
      <w:r>
        <w:rPr>
          <w:rFonts w:ascii="Times New Roman" w:cs="Times New Roman" w:eastAsia="Times New Roman" w:hAnsi="Times New Roman"/>
          <w:sz w:val="17"/>
          <w:szCs w:val="17"/>
          <w:i w:val="1"/>
          <w:iCs w:val="1"/>
          <w:color w:val="auto"/>
        </w:rPr>
        <w:t>, S</w:t>
      </w:r>
      <w:r>
        <w:rPr>
          <w:rFonts w:ascii="Times New Roman" w:cs="Times New Roman" w:eastAsia="Times New Roman" w:hAnsi="Times New Roman"/>
          <w:sz w:val="14"/>
          <w:szCs w:val="14"/>
          <w:i w:val="1"/>
          <w:iCs w:val="1"/>
          <w:color w:val="auto"/>
        </w:rPr>
        <w:t>UPPLEMENT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w:t>
      </w:r>
      <w:r>
        <w:rPr>
          <w:rFonts w:ascii="Times New Roman" w:cs="Times New Roman" w:eastAsia="Times New Roman" w:hAnsi="Times New Roman"/>
          <w:sz w:val="14"/>
          <w:szCs w:val="14"/>
          <w:i w:val="1"/>
          <w:iCs w:val="1"/>
          <w:color w:val="auto"/>
        </w:rPr>
        <w:t>AIVER</w:t>
      </w:r>
      <w:r>
        <w:rPr>
          <w:rFonts w:ascii="Times New Roman" w:cs="Times New Roman" w:eastAsia="Times New Roman" w:hAnsi="Times New Roman"/>
          <w:sz w:val="17"/>
          <w:szCs w:val="17"/>
          <w:color w:val="auto"/>
        </w:rPr>
        <w:t>. The Indenture or the Notes, may be amended as set forth in the Indenture.</w:t>
      </w:r>
    </w:p>
    <w:p>
      <w:pPr>
        <w:spacing w:after="0" w:line="118" w:lineRule="exact"/>
        <w:rPr>
          <w:sz w:val="20"/>
          <w:szCs w:val="20"/>
          <w:color w:val="auto"/>
        </w:rPr>
      </w:pPr>
    </w:p>
    <w:p>
      <w:pPr>
        <w:ind w:left="140" w:right="220" w:firstLine="388"/>
        <w:spacing w:after="0" w:line="29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DEFAULTS AND REMEDIES</w:t>
      </w:r>
      <w:r>
        <w:rPr>
          <w:rFonts w:ascii="Times New Roman" w:cs="Times New Roman" w:eastAsia="Times New Roman" w:hAnsi="Times New Roman"/>
          <w:sz w:val="17"/>
          <w:szCs w:val="17"/>
          <w:color w:val="auto"/>
        </w:rPr>
        <w:t>. The events listed in Section 6.01 of the Indenture shall constitute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for the purpose of this Note.</w:t>
      </w:r>
    </w:p>
    <w:p>
      <w:pPr>
        <w:spacing w:after="0" w:line="37" w:lineRule="exact"/>
        <w:rPr>
          <w:sz w:val="20"/>
          <w:szCs w:val="20"/>
          <w:color w:val="auto"/>
        </w:rPr>
      </w:pPr>
    </w:p>
    <w:p>
      <w:pPr>
        <w:jc w:val="both"/>
        <w:ind w:left="140" w:right="160" w:firstLine="388"/>
        <w:spacing w:after="0" w:line="27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i w:val="1"/>
          <w:iCs w:val="1"/>
          <w:color w:val="auto"/>
        </w:rPr>
        <w:t>T</w:t>
      </w:r>
      <w:r>
        <w:rPr>
          <w:rFonts w:ascii="Times New Roman" w:cs="Times New Roman" w:eastAsia="Times New Roman" w:hAnsi="Times New Roman"/>
          <w:sz w:val="14"/>
          <w:szCs w:val="14"/>
          <w:i w:val="1"/>
          <w:iCs w:val="1"/>
          <w:color w:val="auto"/>
        </w:rPr>
        <w:t>RUSTEE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4"/>
          <w:szCs w:val="14"/>
          <w:i w:val="1"/>
          <w:iCs w:val="1"/>
          <w:color w:val="auto"/>
        </w:rPr>
        <w:t>EALINGS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w:t>
      </w:r>
      <w:r>
        <w:rPr>
          <w:rFonts w:ascii="Times New Roman" w:cs="Times New Roman" w:eastAsia="Times New Roman" w:hAnsi="Times New Roman"/>
          <w:sz w:val="14"/>
          <w:szCs w:val="14"/>
          <w:i w:val="1"/>
          <w:iCs w:val="1"/>
          <w:color w:val="auto"/>
        </w:rPr>
        <w:t>OMPANY</w:t>
      </w:r>
      <w:r>
        <w:rPr>
          <w:rFonts w:ascii="Times New Roman" w:cs="Times New Roman" w:eastAsia="Times New Roman" w:hAnsi="Times New Roman"/>
          <w:sz w:val="17"/>
          <w:szCs w:val="17"/>
          <w:color w:val="auto"/>
        </w:rPr>
        <w:t>. The Trustee, in its individual or any other capacity, may make loans to, accept deposits from, and perform services for the Company or its Affiliates, and may otherwise deal with the Company or its Affiliates, as if it were not the Trustee.</w:t>
      </w:r>
    </w:p>
    <w:p>
      <w:pPr>
        <w:spacing w:after="0" w:line="55" w:lineRule="exact"/>
        <w:rPr>
          <w:sz w:val="20"/>
          <w:szCs w:val="20"/>
          <w:color w:val="auto"/>
        </w:rPr>
      </w:pPr>
    </w:p>
    <w:p>
      <w:pPr>
        <w:ind w:left="140" w:firstLine="388"/>
        <w:spacing w:after="0" w:line="270"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i w:val="1"/>
          <w:iCs w:val="1"/>
          <w:color w:val="auto"/>
        </w:rPr>
        <w:t>N</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4"/>
          <w:szCs w:val="14"/>
          <w:i w:val="1"/>
          <w:iCs w:val="1"/>
          <w:color w:val="auto"/>
        </w:rPr>
        <w:t>ECOURSE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4"/>
          <w:szCs w:val="14"/>
          <w:i w:val="1"/>
          <w:iCs w:val="1"/>
          <w:color w:val="auto"/>
        </w:rPr>
        <w:t>GAINST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t>
      </w:r>
      <w:r>
        <w:rPr>
          <w:rFonts w:ascii="Times New Roman" w:cs="Times New Roman" w:eastAsia="Times New Roman" w:hAnsi="Times New Roman"/>
          <w:sz w:val="14"/>
          <w:szCs w:val="14"/>
          <w:i w:val="1"/>
          <w:iCs w:val="1"/>
          <w:color w:val="auto"/>
        </w:rPr>
        <w:t>THERS</w:t>
      </w:r>
      <w:r>
        <w:rPr>
          <w:rFonts w:ascii="Times New Roman" w:cs="Times New Roman" w:eastAsia="Times New Roman" w:hAnsi="Times New Roman"/>
          <w:sz w:val="17"/>
          <w:szCs w:val="17"/>
          <w:color w:val="auto"/>
        </w:rPr>
        <w:t>. A director, officer, employee, incorporator or stockholder of the Company, as such, will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61" w:lineRule="exact"/>
        <w:rPr>
          <w:sz w:val="20"/>
          <w:szCs w:val="20"/>
          <w:color w:val="auto"/>
        </w:rPr>
      </w:pPr>
    </w:p>
    <w:p>
      <w:pPr>
        <w:ind w:left="140" w:right="280" w:firstLine="388"/>
        <w:spacing w:after="0" w:line="298"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4"/>
          <w:szCs w:val="14"/>
          <w:i w:val="1"/>
          <w:iCs w:val="1"/>
          <w:color w:val="auto"/>
        </w:rPr>
        <w:t>UTHENTICATION</w:t>
      </w:r>
      <w:r>
        <w:rPr>
          <w:rFonts w:ascii="Times New Roman" w:cs="Times New Roman" w:eastAsia="Times New Roman" w:hAnsi="Times New Roman"/>
          <w:sz w:val="17"/>
          <w:szCs w:val="17"/>
          <w:color w:val="auto"/>
        </w:rPr>
        <w:t>. This Note will not be valid until authenticated by the manual or electronic signature of the Trustee or an authenticating agent.</w:t>
      </w:r>
    </w:p>
    <w:p>
      <w:pPr>
        <w:spacing w:after="0" w:line="37" w:lineRule="exact"/>
        <w:rPr>
          <w:sz w:val="20"/>
          <w:szCs w:val="20"/>
          <w:color w:val="auto"/>
        </w:rPr>
      </w:pPr>
    </w:p>
    <w:p>
      <w:pPr>
        <w:ind w:left="140" w:right="80" w:firstLine="388"/>
        <w:spacing w:after="0" w:line="277"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4"/>
          <w:szCs w:val="14"/>
          <w:i w:val="1"/>
          <w:iCs w:val="1"/>
          <w:color w:val="auto"/>
        </w:rPr>
        <w:t>BBREVIATIONS</w:t>
      </w:r>
      <w:r>
        <w:rPr>
          <w:rFonts w:ascii="Times New Roman" w:cs="Times New Roman" w:eastAsia="Times New Roman" w:hAnsi="Times New Roman"/>
          <w:sz w:val="17"/>
          <w:szCs w:val="17"/>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55" w:lineRule="exact"/>
        <w:rPr>
          <w:sz w:val="20"/>
          <w:szCs w:val="20"/>
          <w:color w:val="auto"/>
        </w:rPr>
      </w:pPr>
    </w:p>
    <w:p>
      <w:pPr>
        <w:ind w:left="140" w:right="40" w:firstLine="388"/>
        <w:spacing w:after="0" w:line="270"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i w:val="1"/>
          <w:iCs w:val="1"/>
          <w:color w:val="auto"/>
        </w:rPr>
        <w:t>CUSIP NUMBERS</w:t>
      </w:r>
      <w:r>
        <w:rPr>
          <w:rFonts w:ascii="Times New Roman" w:cs="Times New Roman" w:eastAsia="Times New Roman" w:hAnsi="Times New Roman"/>
          <w:sz w:val="17"/>
          <w:szCs w:val="17"/>
          <w:color w:val="auto"/>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9820"/>
          </w:cols>
          <w:pgMar w:left="1440" w:top="263" w:right="639" w:bottom="1440" w:gutter="0" w:footer="0" w:header="0"/>
        </w:sectPr>
      </w:pPr>
    </w:p>
    <w:bookmarkStart w:id="366" w:name="page367"/>
    <w:bookmarkEnd w:id="366"/>
    <w:p>
      <w:pPr>
        <w:ind w:left="960" w:firstLine="388"/>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(18)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xml:space="preserve"> THE LAWS OF THE STATE OF NEW YORK WILL GOVERN AND BE USED TO CONSTRUE THE INDENTURE AND THIS NOTE WITHOUT GIVING EFFECT TO APPLICABLE PRINCIPLES OF CONFLICTS OF LAW TO THE EXTENT THAT THE APPLICATION OF THE LAWS OF ANOTHER JURISDICTION WOULD BE REQUIRED THEREBY.</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Company will furnish to any Holder upon written request and without charge a copy of the Indenture. Requests may be made 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Intertrust SPV (Cayman)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Nexus Way, Camana Bay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Cayman KY1-9005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Resorts &amp; Entertainment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37/F, The Centrium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 Wyndham Street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Central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Company Secretary</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10600"/>
          </w:cols>
          <w:pgMar w:left="620" w:top="263" w:right="679" w:bottom="1440" w:gutter="0" w:footer="0" w:header="0"/>
        </w:sectPr>
      </w:pPr>
    </w:p>
    <w:bookmarkStart w:id="367" w:name="page368"/>
    <w:bookmarkEnd w:id="367"/>
    <w:p>
      <w:pPr>
        <w:jc w:val="center"/>
        <w:ind w:right="-7"/>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4"/>
          <w:szCs w:val="14"/>
          <w:color w:val="auto"/>
        </w:rPr>
        <w:t>ORM</w:t>
      </w:r>
    </w:p>
    <w:p>
      <w:pPr>
        <w:spacing w:after="0" w:line="2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To assign this Note, fill in the form below:</w:t>
      </w:r>
    </w:p>
    <w:p>
      <w:pPr>
        <w:spacing w:after="0" w:line="2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20320</wp:posOffset>
            </wp:positionV>
            <wp:extent cx="39916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9">
                      <a:extLst>
                        <a:ext uri="{28A0092B-C50C-407E-A947-70E740481C1C}"/>
                      </a:extLst>
                    </a:blip>
                    <a:srcRect/>
                    <a:stretch>
                      <a:fillRect/>
                    </a:stretch>
                  </pic:blipFill>
                  <pic:spPr bwMode="auto">
                    <a:xfrm>
                      <a:off x="0" y="0"/>
                      <a:ext cx="3991610" cy="8255"/>
                    </a:xfrm>
                    <a:prstGeom prst="rect">
                      <a:avLst/>
                    </a:prstGeom>
                    <a:noFill/>
                  </pic:spPr>
                </pic:pic>
              </a:graphicData>
            </a:graphic>
          </wp:anchor>
        </w:drawing>
      </w:r>
    </w:p>
    <w:p>
      <w:pPr>
        <w:spacing w:after="0" w:line="20" w:lineRule="exact"/>
        <w:rPr>
          <w:sz w:val="20"/>
          <w:szCs w:val="20"/>
          <w:color w:val="auto"/>
        </w:rPr>
      </w:pPr>
    </w:p>
    <w:p>
      <w:pPr>
        <w:ind w:left="5428"/>
        <w:spacing w:after="0"/>
        <w:rPr>
          <w:sz w:val="20"/>
          <w:szCs w:val="20"/>
          <w:color w:val="auto"/>
        </w:rPr>
      </w:pPr>
      <w:r>
        <w:rPr>
          <w:rFonts w:ascii="Times New Roman" w:cs="Times New Roman" w:eastAsia="Times New Roman" w:hAnsi="Times New Roman"/>
          <w:sz w:val="17"/>
          <w:szCs w:val="17"/>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7716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0">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7716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1">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67716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2">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452120</wp:posOffset>
            </wp:positionV>
            <wp:extent cx="67716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3">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601345</wp:posOffset>
            </wp:positionV>
            <wp:extent cx="67716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4">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(Print or type assignee’s name, address and zip code)</w:t>
      </w: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-12065</wp:posOffset>
            </wp:positionV>
            <wp:extent cx="52114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5">
                      <a:extLst>
                        <a:ext uri="{28A0092B-C50C-407E-A947-70E740481C1C}"/>
                      </a:extLst>
                    </a:blip>
                    <a:srcRect/>
                    <a:stretch>
                      <a:fillRect/>
                    </a:stretch>
                  </pic:blipFill>
                  <pic:spPr bwMode="auto">
                    <a:xfrm>
                      <a:off x="0" y="0"/>
                      <a:ext cx="5211445" cy="8255"/>
                    </a:xfrm>
                    <a:prstGeom prst="rect">
                      <a:avLst/>
                    </a:prstGeom>
                    <a:noFill/>
                  </pic:spPr>
                </pic:pic>
              </a:graphicData>
            </a:graphic>
          </wp:anchor>
        </w:drawing>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to transfer this Note on the books of the Company. The agent may substitute another to act for him.</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-3810</wp:posOffset>
            </wp:positionV>
            <wp:extent cx="6635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6">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55" w:lineRule="exact"/>
        <w:rPr>
          <w:sz w:val="20"/>
          <w:szCs w:val="20"/>
          <w:color w:val="auto"/>
        </w:rPr>
      </w:pPr>
    </w:p>
    <w:p>
      <w:pPr>
        <w:ind w:left="6408"/>
        <w:spacing w:after="0"/>
        <w:rPr>
          <w:sz w:val="20"/>
          <w:szCs w:val="20"/>
          <w:color w:val="auto"/>
        </w:rPr>
      </w:pPr>
      <w:r>
        <w:rPr>
          <w:rFonts w:ascii="Times New Roman" w:cs="Times New Roman" w:eastAsia="Times New Roman" w:hAnsi="Times New Roman"/>
          <w:sz w:val="17"/>
          <w:szCs w:val="17"/>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3810</wp:posOffset>
            </wp:positionV>
            <wp:extent cx="18091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7">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(Sign exactly as your name appears on the face of this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Note)</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-3810</wp:posOffset>
            </wp:positionV>
            <wp:extent cx="8845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8">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229" w:lineRule="exact"/>
        <w:rPr>
          <w:sz w:val="20"/>
          <w:szCs w:val="20"/>
          <w:color w:val="auto"/>
        </w:rPr>
      </w:pPr>
    </w:p>
    <w:p>
      <w:pPr>
        <w:ind w:left="5188" w:right="1800" w:hanging="5188"/>
        <w:spacing w:after="0" w:line="472" w:lineRule="auto"/>
        <w:tabs>
          <w:tab w:leader="none" w:pos="201"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in a recognized Signature Guarantee Medallion Program (or other signature guarantor acceptable to the Trustee). A-8</w:t>
      </w:r>
    </w:p>
    <w:p>
      <w:pPr>
        <w:sectPr>
          <w:pgSz w:w="11900" w:h="16838" w:orient="portrait"/>
          <w:cols w:equalWidth="0" w:num="1">
            <w:col w:w="10668"/>
          </w:cols>
          <w:pgMar w:left="612" w:top="265" w:right="619" w:bottom="1440" w:gutter="0" w:footer="0" w:header="0"/>
        </w:sectPr>
      </w:pPr>
    </w:p>
    <w:bookmarkStart w:id="368" w:name="page369"/>
    <w:bookmarkEnd w:id="368"/>
    <w:p>
      <w:pPr>
        <w:ind w:left="8"/>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7"/>
          <w:szCs w:val="17"/>
          <w:i w:val="1"/>
          <w:iCs w:val="1"/>
          <w:color w:val="auto"/>
        </w:rPr>
        <w:t xml:space="preserve"> H</w:t>
      </w:r>
      <w:r>
        <w:rPr>
          <w:rFonts w:ascii="Times New Roman" w:cs="Times New Roman" w:eastAsia="Times New Roman" w:hAnsi="Times New Roman"/>
          <w:sz w:val="14"/>
          <w:szCs w:val="14"/>
          <w:i w:val="1"/>
          <w:iCs w:val="1"/>
          <w:color w:val="auto"/>
        </w:rPr>
        <w:t>OLDER TO</w:t>
      </w:r>
      <w:r>
        <w:rPr>
          <w:rFonts w:ascii="Times New Roman" w:cs="Times New Roman" w:eastAsia="Times New Roman" w:hAnsi="Times New Roman"/>
          <w:sz w:val="17"/>
          <w:szCs w:val="17"/>
          <w:i w:val="1"/>
          <w:iCs w:val="1"/>
          <w:color w:val="auto"/>
        </w:rPr>
        <w:t xml:space="preserve"> E</w:t>
      </w:r>
      <w:r>
        <w:rPr>
          <w:rFonts w:ascii="Times New Roman" w:cs="Times New Roman" w:eastAsia="Times New Roman" w:hAnsi="Times New Roman"/>
          <w:sz w:val="14"/>
          <w:szCs w:val="14"/>
          <w:i w:val="1"/>
          <w:iCs w:val="1"/>
          <w:color w:val="auto"/>
        </w:rPr>
        <w:t>LECT</w:t>
      </w:r>
      <w:r>
        <w:rPr>
          <w:rFonts w:ascii="Times New Roman" w:cs="Times New Roman" w:eastAsia="Times New Roman" w:hAnsi="Times New Roman"/>
          <w:sz w:val="17"/>
          <w:szCs w:val="17"/>
          <w:i w:val="1"/>
          <w:iCs w:val="1"/>
          <w:color w:val="auto"/>
        </w:rPr>
        <w:t xml:space="preserve"> P</w:t>
      </w:r>
      <w:r>
        <w:rPr>
          <w:rFonts w:ascii="Times New Roman" w:cs="Times New Roman" w:eastAsia="Times New Roman" w:hAnsi="Times New Roman"/>
          <w:sz w:val="14"/>
          <w:szCs w:val="14"/>
          <w:i w:val="1"/>
          <w:iCs w:val="1"/>
          <w:color w:val="auto"/>
        </w:rPr>
        <w:t>URCHASE</w:t>
      </w:r>
    </w:p>
    <w:p>
      <w:pPr>
        <w:spacing w:after="0" w:line="225" w:lineRule="exact"/>
        <w:rPr>
          <w:sz w:val="20"/>
          <w:szCs w:val="20"/>
          <w:color w:val="auto"/>
        </w:rPr>
      </w:pPr>
    </w:p>
    <w:p>
      <w:pPr>
        <w:ind w:left="8" w:right="320" w:firstLine="426"/>
        <w:spacing w:after="0" w:line="295" w:lineRule="auto"/>
        <w:rPr>
          <w:sz w:val="20"/>
          <w:szCs w:val="20"/>
          <w:color w:val="auto"/>
        </w:rPr>
      </w:pPr>
      <w:r>
        <w:rPr>
          <w:rFonts w:ascii="Times New Roman" w:cs="Times New Roman" w:eastAsia="Times New Roman" w:hAnsi="Times New Roman"/>
          <w:sz w:val="17"/>
          <w:szCs w:val="17"/>
          <w:color w:val="auto"/>
        </w:rPr>
        <w:t>If you want to elect to have this Note purchased by the Company pursuant to Sections 4.08 or 4.10 of the Indenture, check the appropriate box below:</w:t>
      </w:r>
    </w:p>
    <w:p>
      <w:pPr>
        <w:spacing w:after="0" w:line="173" w:lineRule="exact"/>
        <w:rPr>
          <w:sz w:val="20"/>
          <w:szCs w:val="20"/>
          <w:color w:val="auto"/>
        </w:rPr>
      </w:pPr>
    </w:p>
    <w:p>
      <w:pPr>
        <w:ind w:left="3848"/>
        <w:spacing w:after="0"/>
        <w:tabs>
          <w:tab w:leader="none" w:pos="6648" w:val="left"/>
        </w:tabs>
        <w:rPr>
          <w:sz w:val="20"/>
          <w:szCs w:val="20"/>
          <w:color w:val="auto"/>
        </w:rPr>
      </w:pPr>
      <w:r>
        <w:rPr>
          <w:rFonts w:ascii="Times New Roman" w:cs="Times New Roman" w:eastAsia="Times New Roman" w:hAnsi="Times New Roman"/>
          <w:sz w:val="17"/>
          <w:szCs w:val="17"/>
          <w:color w:val="auto"/>
        </w:rPr>
        <w:t>Section 4.08</w:t>
      </w:r>
      <w:r>
        <w:rPr>
          <w:sz w:val="20"/>
          <w:szCs w:val="20"/>
          <w:color w:val="auto"/>
        </w:rPr>
        <w:tab/>
      </w:r>
      <w:r>
        <w:rPr>
          <w:rFonts w:ascii="Times New Roman" w:cs="Times New Roman" w:eastAsia="Times New Roman" w:hAnsi="Times New Roman"/>
          <w:sz w:val="17"/>
          <w:szCs w:val="17"/>
          <w:color w:val="auto"/>
        </w:rPr>
        <w:t>Section 4.10</w:t>
      </w:r>
    </w:p>
    <w:p>
      <w:pPr>
        <w:spacing w:after="0" w:line="223" w:lineRule="exact"/>
        <w:rPr>
          <w:sz w:val="20"/>
          <w:szCs w:val="20"/>
          <w:color w:val="auto"/>
        </w:rPr>
      </w:pPr>
    </w:p>
    <w:p>
      <w:pPr>
        <w:ind w:left="8" w:right="240" w:firstLine="426"/>
        <w:spacing w:after="0" w:line="295" w:lineRule="auto"/>
        <w:rPr>
          <w:sz w:val="20"/>
          <w:szCs w:val="20"/>
          <w:color w:val="auto"/>
        </w:rPr>
      </w:pPr>
      <w:r>
        <w:rPr>
          <w:rFonts w:ascii="Times New Roman" w:cs="Times New Roman" w:eastAsia="Times New Roman" w:hAnsi="Times New Roman"/>
          <w:sz w:val="17"/>
          <w:szCs w:val="17"/>
          <w:color w:val="auto"/>
        </w:rPr>
        <w:t>If you want to elect to have only part of the Note purchased by the Company pursuant to Section 4.08 or Section 4.10 of the Indenture, state the amount you elect to have purchased:</w:t>
      </w:r>
    </w:p>
    <w:p>
      <w:pPr>
        <w:spacing w:after="0" w:line="147"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7"/>
          <w:szCs w:val="17"/>
          <w:color w:val="auto"/>
        </w:rPr>
        <w:t xml:space="preserve">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-3810</wp:posOffset>
            </wp:positionV>
            <wp:extent cx="5530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0">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i w:val="1"/>
          <w:i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-2540</wp:posOffset>
            </wp:positionV>
            <wp:extent cx="5530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1">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22" w:lineRule="exact"/>
        <w:rPr>
          <w:sz w:val="20"/>
          <w:szCs w:val="20"/>
          <w:color w:val="auto"/>
        </w:rPr>
      </w:pPr>
    </w:p>
    <w:p>
      <w:pPr>
        <w:ind w:left="6408"/>
        <w:spacing w:after="0"/>
        <w:rPr>
          <w:sz w:val="20"/>
          <w:szCs w:val="20"/>
          <w:color w:val="auto"/>
        </w:rPr>
      </w:pPr>
      <w:r>
        <w:rPr>
          <w:rFonts w:ascii="Times New Roman" w:cs="Times New Roman" w:eastAsia="Times New Roman" w:hAnsi="Times New Roman"/>
          <w:sz w:val="17"/>
          <w:szCs w:val="17"/>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3810</wp:posOffset>
            </wp:positionV>
            <wp:extent cx="18091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2">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(Sign exactly as your name appears on the face of this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Note)</w:t>
      </w:r>
    </w:p>
    <w:p>
      <w:pPr>
        <w:spacing w:after="0" w:line="231" w:lineRule="exact"/>
        <w:rPr>
          <w:sz w:val="20"/>
          <w:szCs w:val="20"/>
          <w:color w:val="auto"/>
        </w:rPr>
      </w:pPr>
    </w:p>
    <w:p>
      <w:pPr>
        <w:ind w:left="6408"/>
        <w:spacing w:after="0"/>
        <w:rPr>
          <w:sz w:val="20"/>
          <w:szCs w:val="20"/>
          <w:color w:val="auto"/>
        </w:rPr>
      </w:pPr>
      <w:r>
        <w:rPr>
          <w:rFonts w:ascii="Times New Roman" w:cs="Times New Roman" w:eastAsia="Times New Roman" w:hAnsi="Times New Roman"/>
          <w:sz w:val="17"/>
          <w:szCs w:val="17"/>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20320</wp:posOffset>
            </wp:positionV>
            <wp:extent cx="151003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3">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-3810</wp:posOffset>
            </wp:positionV>
            <wp:extent cx="7740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4">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29" w:lineRule="exact"/>
        <w:rPr>
          <w:sz w:val="20"/>
          <w:szCs w:val="20"/>
          <w:color w:val="auto"/>
        </w:rPr>
      </w:pPr>
    </w:p>
    <w:p>
      <w:pPr>
        <w:ind w:left="5188" w:right="1800" w:hanging="5188"/>
        <w:spacing w:after="0" w:line="472" w:lineRule="auto"/>
        <w:tabs>
          <w:tab w:leader="none" w:pos="201"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in a recognized Signature Guarantee Medallion Program (or other signature guarantor acceptable to the Trustee). A-9</w:t>
      </w:r>
    </w:p>
    <w:p>
      <w:pPr>
        <w:sectPr>
          <w:pgSz w:w="11900" w:h="16838" w:orient="portrait"/>
          <w:cols w:equalWidth="0" w:num="1">
            <w:col w:w="10668"/>
          </w:cols>
          <w:pgMar w:left="612" w:top="263" w:right="619" w:bottom="1440" w:gutter="0" w:footer="0" w:header="0"/>
        </w:sectPr>
      </w:pPr>
    </w:p>
    <w:bookmarkStart w:id="369" w:name="page370"/>
    <w:bookmarkEnd w:id="369"/>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NTERESTS IN THE</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7"/>
          <w:szCs w:val="17"/>
          <w:color w:val="auto"/>
        </w:rPr>
        <w:t xml:space="preserve"> N</w:t>
      </w:r>
      <w:r>
        <w:rPr>
          <w:rFonts w:ascii="Times New Roman" w:cs="Times New Roman" w:eastAsia="Times New Roman" w:hAnsi="Times New Roman"/>
          <w:sz w:val="14"/>
          <w:szCs w:val="14"/>
          <w:color w:val="auto"/>
        </w:rPr>
        <w:t>OTE</w:t>
      </w:r>
    </w:p>
    <w:p>
      <w:pPr>
        <w:spacing w:after="0" w:line="223" w:lineRule="exact"/>
        <w:rPr>
          <w:sz w:val="20"/>
          <w:szCs w:val="20"/>
          <w:color w:val="auto"/>
        </w:rPr>
      </w:pPr>
    </w:p>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color w:val="auto"/>
                <w:w w:val="98"/>
              </w:rPr>
              <w:t>Amount of</w:t>
            </w: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Amount of</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Principal Amount</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Signature of</w:t>
            </w: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0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color w:val="auto"/>
                <w:w w:val="98"/>
              </w:rPr>
              <w:t>of this Global Note</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20" w:type="dxa"/>
            <w:vAlign w:val="bottom"/>
            <w:gridSpan w:val="2"/>
          </w:tcPr>
          <w:p>
            <w:pPr>
              <w:jc w:val="center"/>
              <w:ind w:right="600"/>
              <w:spacing w:after="0" w:line="144" w:lineRule="exact"/>
              <w:rPr>
                <w:sz w:val="20"/>
                <w:szCs w:val="20"/>
                <w:color w:val="auto"/>
              </w:rPr>
            </w:pPr>
            <w:r>
              <w:rPr>
                <w:rFonts w:ascii="Times New Roman" w:cs="Times New Roman" w:eastAsia="Times New Roman" w:hAnsi="Times New Roman"/>
                <w:sz w:val="14"/>
                <w:szCs w:val="14"/>
                <w:color w:val="auto"/>
                <w:w w:val="98"/>
              </w:rPr>
              <w:t>decrease in</w:t>
            </w:r>
          </w:p>
        </w:tc>
        <w:tc>
          <w:tcPr>
            <w:tcW w:w="20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color w:val="auto"/>
                <w:w w:val="99"/>
              </w:rPr>
              <w:t>increase in</w:t>
            </w:r>
          </w:p>
        </w:tc>
        <w:tc>
          <w:tcPr>
            <w:tcW w:w="20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color w:val="auto"/>
                <w:w w:val="98"/>
              </w:rPr>
              <w:t>following such</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authorized officer of</w:t>
            </w:r>
          </w:p>
        </w:tc>
        <w:tc>
          <w:tcPr>
            <w:tcW w:w="0" w:type="dxa"/>
            <w:vAlign w:val="bottom"/>
          </w:tcPr>
          <w:p>
            <w:pPr>
              <w:spacing w:after="0"/>
              <w:rPr>
                <w:sz w:val="1"/>
                <w:szCs w:val="1"/>
                <w:color w:val="auto"/>
              </w:rPr>
            </w:pPr>
          </w:p>
        </w:tc>
      </w:tr>
      <w:tr>
        <w:trPr>
          <w:trHeight w:val="144"/>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Date of Exchange</w:t>
            </w:r>
          </w:p>
        </w:tc>
        <w:tc>
          <w:tcPr>
            <w:tcW w:w="900" w:type="dxa"/>
            <w:vAlign w:val="bottom"/>
          </w:tcPr>
          <w:p>
            <w:pPr>
              <w:spacing w:after="0"/>
              <w:rPr>
                <w:sz w:val="12"/>
                <w:szCs w:val="12"/>
                <w:color w:val="auto"/>
              </w:rPr>
            </w:pPr>
          </w:p>
        </w:tc>
        <w:tc>
          <w:tcPr>
            <w:tcW w:w="2820" w:type="dxa"/>
            <w:vAlign w:val="bottom"/>
            <w:gridSpan w:val="2"/>
          </w:tcPr>
          <w:p>
            <w:pPr>
              <w:jc w:val="center"/>
              <w:ind w:right="580"/>
              <w:spacing w:after="0" w:line="144" w:lineRule="exact"/>
              <w:rPr>
                <w:sz w:val="20"/>
                <w:szCs w:val="20"/>
                <w:color w:val="auto"/>
              </w:rPr>
            </w:pPr>
            <w:r>
              <w:rPr>
                <w:rFonts w:ascii="Times New Roman" w:cs="Times New Roman" w:eastAsia="Times New Roman" w:hAnsi="Times New Roman"/>
                <w:sz w:val="14"/>
                <w:szCs w:val="14"/>
                <w:color w:val="auto"/>
              </w:rPr>
              <w:t>Principal Amount</w:t>
            </w:r>
          </w:p>
        </w:tc>
        <w:tc>
          <w:tcPr>
            <w:tcW w:w="20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color w:val="auto"/>
              </w:rPr>
              <w:t>Principal Amount</w:t>
            </w:r>
          </w:p>
        </w:tc>
        <w:tc>
          <w:tcPr>
            <w:tcW w:w="20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color w:val="auto"/>
                <w:w w:val="99"/>
              </w:rPr>
              <w:t>decrease</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Trustee or</w:t>
            </w:r>
          </w:p>
        </w:tc>
        <w:tc>
          <w:tcPr>
            <w:tcW w:w="0" w:type="dxa"/>
            <w:vAlign w:val="bottom"/>
          </w:tcPr>
          <w:p>
            <w:pPr>
              <w:spacing w:after="0"/>
              <w:rPr>
                <w:sz w:val="1"/>
                <w:szCs w:val="1"/>
                <w:color w:val="auto"/>
              </w:rPr>
            </w:pPr>
          </w:p>
        </w:tc>
      </w:tr>
      <w:tr>
        <w:trPr>
          <w:trHeight w:val="172"/>
        </w:trPr>
        <w:tc>
          <w:tcPr>
            <w:tcW w:w="1000" w:type="dxa"/>
            <w:vAlign w:val="bottom"/>
            <w:tcBorders>
              <w:bottom w:val="single" w:sz="8" w:color="auto"/>
            </w:tcBorders>
            <w:vMerge w:val="continue"/>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58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Custodian</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0660"/>
          </w:cols>
          <w:pgMar w:left="620" w:top="264" w:right="619" w:bottom="1440" w:gutter="0" w:footer="0" w:header="0"/>
        </w:sectPr>
      </w:pPr>
    </w:p>
    <w:bookmarkStart w:id="370" w:name="page371"/>
    <w:bookmarkEnd w:id="370"/>
    <w:p>
      <w:pPr>
        <w:ind w:left="98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B</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CERTIFICATE OF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address block</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Registrar address block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 6.500% Senior Notes due 2033 of Melco Resorts Finance Limited</w:t>
      </w:r>
    </w:p>
    <w:p>
      <w:pPr>
        <w:spacing w:after="0" w:line="221" w:lineRule="exact"/>
        <w:rPr>
          <w:sz w:val="20"/>
          <w:szCs w:val="20"/>
          <w:color w:val="auto"/>
        </w:rPr>
      </w:pPr>
    </w:p>
    <w:p>
      <w:pPr>
        <w:jc w:val="both"/>
        <w:ind w:right="280" w:firstLine="426"/>
        <w:spacing w:after="0" w:line="277" w:lineRule="auto"/>
        <w:rPr>
          <w:sz w:val="20"/>
          <w:szCs w:val="20"/>
          <w:color w:val="auto"/>
        </w:rPr>
      </w:pPr>
      <w:r>
        <w:rPr>
          <w:rFonts w:ascii="Times New Roman" w:cs="Times New Roman" w:eastAsia="Times New Roman" w:hAnsi="Times New Roman"/>
          <w:sz w:val="17"/>
          <w:szCs w:val="17"/>
          <w:color w:val="auto"/>
        </w:rPr>
        <w:t>Reference is hereby made to the Indenture, dated as of September 24, 2025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among Melco Resorts Finance Limited, as issuer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Deutsche Bank Trust Company Americas, as trustee, paying agent, registrar and transfer agent. Capitalized terms used but not defined herein shall have the meanings given to them in the Indenture.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95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   , (the “</w:t>
            </w:r>
            <w:r>
              <w:rPr>
                <w:rFonts w:ascii="Times New Roman" w:cs="Times New Roman" w:eastAsia="Times New Roman" w:hAnsi="Times New Roman"/>
                <w:sz w:val="17"/>
                <w:szCs w:val="17"/>
                <w:i w:val="1"/>
                <w:iCs w:val="1"/>
                <w:color w:val="auto"/>
              </w:rPr>
              <w:t>Transferor</w:t>
            </w:r>
            <w:r>
              <w:rPr>
                <w:rFonts w:ascii="Times New Roman" w:cs="Times New Roman" w:eastAsia="Times New Roman" w:hAnsi="Times New Roman"/>
                <w:sz w:val="17"/>
                <w:szCs w:val="17"/>
                <w:color w:val="auto"/>
              </w:rPr>
              <w:t>”) owns and proposes to transfer the Note[s] or interest in such Note[s] specified in Annex A hereto, in the principal</w:t>
            </w:r>
          </w:p>
        </w:tc>
      </w:tr>
      <w:tr>
        <w:trPr>
          <w:trHeight w:val="20"/>
        </w:trPr>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89"/>
        </w:trPr>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 xml:space="preserve">amount of US$ </w:t>
            </w:r>
          </w:p>
        </w:tc>
        <w:tc>
          <w:tcPr>
            <w:tcW w:w="950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7"/>
                <w:szCs w:val="17"/>
                <w:color w:val="auto"/>
              </w:rPr>
              <w:t>            in such Note[s] or interests (the “</w:t>
            </w:r>
            <w:r>
              <w:rPr>
                <w:rFonts w:ascii="Times New Roman" w:cs="Times New Roman" w:eastAsia="Times New Roman" w:hAnsi="Times New Roman"/>
                <w:sz w:val="17"/>
                <w:szCs w:val="17"/>
                <w:i w:val="1"/>
                <w:iCs w:val="1"/>
                <w:color w:val="auto"/>
              </w:rPr>
              <w:t>Transfer</w:t>
            </w:r>
            <w:r>
              <w:rPr>
                <w:rFonts w:ascii="Times New Roman" w:cs="Times New Roman" w:eastAsia="Times New Roman" w:hAnsi="Times New Roman"/>
                <w:sz w:val="17"/>
                <w:szCs w:val="17"/>
                <w:color w:val="auto"/>
              </w:rPr>
              <w:t>”), to                               (the “</w:t>
            </w:r>
            <w:r>
              <w:rPr>
                <w:rFonts w:ascii="Times New Roman" w:cs="Times New Roman" w:eastAsia="Times New Roman" w:hAnsi="Times New Roman"/>
                <w:sz w:val="17"/>
                <w:szCs w:val="17"/>
                <w:i w:val="1"/>
                <w:iCs w:val="1"/>
                <w:color w:val="auto"/>
              </w:rPr>
              <w:t>Transferee</w:t>
            </w:r>
            <w:r>
              <w:rPr>
                <w:rFonts w:ascii="Times New Roman" w:cs="Times New Roman" w:eastAsia="Times New Roman" w:hAnsi="Times New Roman"/>
                <w:sz w:val="17"/>
                <w:szCs w:val="17"/>
                <w:color w:val="auto"/>
              </w:rPr>
              <w:t>”), as further specified in Annex A</w:t>
            </w:r>
          </w:p>
        </w:tc>
      </w:tr>
      <w:tr>
        <w:trPr>
          <w:trHeight w:val="20"/>
        </w:trPr>
        <w:tc>
          <w:tcPr>
            <w:tcW w:w="106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28"/>
        </w:trPr>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hereto. In connection with the Transfer, the Transferor hereby certifies that:</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[CHECK ALL THAT APPLY]</w:t>
      </w:r>
    </w:p>
    <w:p>
      <w:pPr>
        <w:spacing w:after="0" w:line="184" w:lineRule="exact"/>
        <w:rPr>
          <w:sz w:val="20"/>
          <w:szCs w:val="20"/>
          <w:color w:val="auto"/>
        </w:rPr>
      </w:pPr>
    </w:p>
    <w:p>
      <w:pPr>
        <w:ind w:firstLine="426"/>
        <w:spacing w:after="0" w:line="216" w:lineRule="exact"/>
        <w:rPr>
          <w:sz w:val="20"/>
          <w:szCs w:val="20"/>
          <w:color w:val="auto"/>
        </w:rPr>
      </w:pPr>
      <w:r>
        <w:rPr>
          <w:rFonts w:ascii="Times New Roman" w:cs="Times New Roman" w:eastAsia="Times New Roman" w:hAnsi="Times New Roman"/>
          <w:sz w:val="17"/>
          <w:szCs w:val="17"/>
          <w:color w:val="auto"/>
        </w:rPr>
        <w:t xml:space="preserve">1. 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Check if Transferee will take delivery of a beneficial interest in the 144A Global Note or a Restricted Definitive Note pursuant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Rule 144A</w:t>
      </w:r>
      <w:r>
        <w:rPr>
          <w:rFonts w:ascii="Times New Roman" w:cs="Times New Roman" w:eastAsia="Times New Roman" w:hAnsi="Times New Roman"/>
          <w:sz w:val="17"/>
          <w:szCs w:val="17"/>
          <w:color w:val="auto"/>
        </w:rPr>
        <w:t>. The Transfer is being effected pursuant to and in accordance with Rule 144A under the Securities Act of 1933, as amended (the “</w:t>
      </w:r>
      <w:r>
        <w:rPr>
          <w:rFonts w:ascii="Times New Roman" w:cs="Times New Roman" w:eastAsia="Times New Roman" w:hAnsi="Times New Roman"/>
          <w:sz w:val="17"/>
          <w:szCs w:val="17"/>
          <w:i w:val="1"/>
          <w:iCs w:val="1"/>
          <w:color w:val="auto"/>
        </w:rPr>
        <w:t>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Act</w:t>
      </w:r>
      <w:r>
        <w:rPr>
          <w:rFonts w:ascii="Times New Roman" w:cs="Times New Roman" w:eastAsia="Times New Roman" w:hAnsi="Times New Roman"/>
          <w:sz w:val="17"/>
          <w:szCs w:val="17"/>
          <w:color w:val="auto"/>
        </w:rPr>
        <w:t>”), and, accordingly, the Transferor hereby further certifies that the beneficial interest or Definitive Note is being transferred to a Person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56" w:lineRule="exact"/>
        <w:rPr>
          <w:sz w:val="20"/>
          <w:szCs w:val="20"/>
          <w:color w:val="auto"/>
        </w:rPr>
      </w:pPr>
    </w:p>
    <w:p>
      <w:pPr>
        <w:ind w:right="140" w:firstLine="426"/>
        <w:spacing w:after="0" w:line="216" w:lineRule="exact"/>
        <w:rPr>
          <w:sz w:val="20"/>
          <w:szCs w:val="20"/>
          <w:color w:val="auto"/>
        </w:rPr>
      </w:pPr>
      <w:r>
        <w:rPr>
          <w:rFonts w:ascii="Times New Roman" w:cs="Times New Roman" w:eastAsia="Times New Roman" w:hAnsi="Times New Roman"/>
          <w:sz w:val="17"/>
          <w:szCs w:val="17"/>
          <w:color w:val="auto"/>
        </w:rPr>
        <w:t xml:space="preserv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Check if Transferee will take delivery of a beneficial interest in the Regulation S Global Note or a Restricted Definitive 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pursuant to Regulation S</w:t>
      </w:r>
      <w:r>
        <w:rPr>
          <w:rFonts w:ascii="Times New Roman" w:cs="Times New Roman" w:eastAsia="Times New Roman" w:hAnsi="Times New Roman"/>
          <w:sz w:val="17"/>
          <w:szCs w:val="17"/>
          <w:color w:val="auto"/>
        </w:rPr>
        <w:t>. The Transfer is being effected pursuant to and in accordance with Rule 903 or Rule 904 under the Securities Act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0660"/>
          </w:cols>
          <w:pgMar w:left="620" w:top="265" w:right="619" w:bottom="1440" w:gutter="0" w:footer="0" w:header="0"/>
        </w:sectPr>
      </w:pPr>
    </w:p>
    <w:bookmarkStart w:id="371" w:name="page372"/>
    <w:bookmarkEnd w:id="371"/>
    <w:p>
      <w:pPr>
        <w:ind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24" w:lineRule="exact"/>
        <w:rPr>
          <w:sz w:val="20"/>
          <w:szCs w:val="20"/>
          <w:color w:val="auto"/>
        </w:rPr>
      </w:pPr>
    </w:p>
    <w:p>
      <w:pPr>
        <w:ind w:right="220" w:firstLine="426"/>
        <w:spacing w:after="0" w:line="224" w:lineRule="exact"/>
        <w:rPr>
          <w:sz w:val="20"/>
          <w:szCs w:val="20"/>
          <w:color w:val="auto"/>
        </w:rPr>
      </w:pPr>
      <w:r>
        <w:rPr>
          <w:rFonts w:ascii="Times New Roman" w:cs="Times New Roman" w:eastAsia="Times New Roman" w:hAnsi="Times New Roman"/>
          <w:sz w:val="17"/>
          <w:szCs w:val="17"/>
          <w:color w:val="auto"/>
        </w:rPr>
        <w:t xml:space="preserve">3. 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Check and complete if Transferee will take delivery of a beneficial interest in a Restricted Definitive Note pursuant to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provision of the Securities Act other than Rule 144A or Regulation S</w:t>
      </w:r>
      <w:r>
        <w:rPr>
          <w:rFonts w:ascii="Times New Roman" w:cs="Times New Roman" w:eastAsia="Times New Roman" w:hAnsi="Times New Roman"/>
          <w:sz w:val="17"/>
          <w:szCs w:val="17"/>
          <w:color w:val="auto"/>
        </w:rPr>
        <w:t>. The Transfer is being effected in compliance with the transfer restrictions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1" w:lineRule="exact"/>
        <w:rPr>
          <w:sz w:val="20"/>
          <w:szCs w:val="20"/>
          <w:color w:val="auto"/>
        </w:rPr>
      </w:pPr>
    </w:p>
    <w:p>
      <w:pPr>
        <w:ind w:left="5260" w:right="2040" w:hanging="4314"/>
        <w:spacing w:after="0" w:line="290" w:lineRule="exact"/>
        <w:tabs>
          <w:tab w:leader="none" w:pos="1373" w:val="left"/>
        </w:tabs>
        <w:numPr>
          <w:ilvl w:val="0"/>
          <w:numId w:val="248"/>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such Transfer is being effected pursuant to and in accordance with Rule 144 under the Securities Act; or</w:t>
      </w:r>
    </w:p>
    <w:p>
      <w:pPr>
        <w:spacing w:after="0" w:line="62" w:lineRule="exact"/>
        <w:rPr>
          <w:rFonts w:ascii="Times New Roman" w:cs="Times New Roman" w:eastAsia="Times New Roman" w:hAnsi="Times New Roman"/>
          <w:sz w:val="17"/>
          <w:szCs w:val="17"/>
          <w:color w:val="auto"/>
        </w:rPr>
      </w:pPr>
    </w:p>
    <w:p>
      <w:pPr>
        <w:ind w:left="1360" w:hanging="414"/>
        <w:spacing w:after="0" w:line="196" w:lineRule="exact"/>
        <w:tabs>
          <w:tab w:leader="none" w:pos="1360" w:val="left"/>
        </w:tabs>
        <w:numPr>
          <w:ilvl w:val="0"/>
          <w:numId w:val="248"/>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such Transfer is being effected to the Company or a subsidiary thereof;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80" w:lineRule="exact"/>
        <w:rPr>
          <w:sz w:val="20"/>
          <w:szCs w:val="20"/>
          <w:color w:val="auto"/>
        </w:rPr>
      </w:pPr>
    </w:p>
    <w:p>
      <w:pPr>
        <w:ind w:left="420" w:right="60" w:firstLine="512"/>
        <w:spacing w:after="0" w:line="238" w:lineRule="exact"/>
        <w:rPr>
          <w:sz w:val="20"/>
          <w:szCs w:val="20"/>
          <w:color w:val="auto"/>
        </w:rPr>
      </w:pPr>
      <w:r>
        <w:rPr>
          <w:rFonts w:ascii="Times New Roman" w:cs="Times New Roman" w:eastAsia="Times New Roman" w:hAnsi="Times New Roman"/>
          <w:sz w:val="17"/>
          <w:szCs w:val="17"/>
          <w:color w:val="auto"/>
        </w:rPr>
        <w:t xml:space="preserve">(c)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such Transfer is being effected pursuant to an effective registration statement under the Securities Act and in compliance with the prospectus delivery requirements of the Securities Act.</w:t>
      </w:r>
    </w:p>
    <w:p>
      <w:pPr>
        <w:spacing w:after="0" w:line="153" w:lineRule="exact"/>
        <w:rPr>
          <w:sz w:val="20"/>
          <w:szCs w:val="20"/>
          <w:color w:val="auto"/>
        </w:rPr>
      </w:pPr>
    </w:p>
    <w:p>
      <w:pPr>
        <w:ind w:left="420"/>
        <w:spacing w:after="0" w:line="196" w:lineRule="exact"/>
        <w:rPr>
          <w:sz w:val="20"/>
          <w:szCs w:val="20"/>
          <w:color w:val="auto"/>
        </w:rPr>
      </w:pPr>
      <w:r>
        <w:rPr>
          <w:rFonts w:ascii="Times New Roman" w:cs="Times New Roman" w:eastAsia="Times New Roman" w:hAnsi="Times New Roman"/>
          <w:sz w:val="17"/>
          <w:szCs w:val="17"/>
          <w:color w:val="auto"/>
        </w:rPr>
        <w:t xml:space="preserve">4. 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Check if Transferee will take delivery of a beneficial interest in an Unrestricted Global Note or of an Unrestricted Definitive Note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20" w:firstLine="426"/>
        <w:spacing w:after="0" w:line="219" w:lineRule="exact"/>
        <w:rPr>
          <w:sz w:val="20"/>
          <w:szCs w:val="20"/>
          <w:color w:val="auto"/>
        </w:rPr>
      </w:pPr>
      <w:r>
        <w:rPr>
          <w:rFonts w:ascii="Times New Roman" w:cs="Times New Roman" w:eastAsia="Times New Roman" w:hAnsi="Times New Roman"/>
          <w:sz w:val="17"/>
          <w:szCs w:val="17"/>
          <w:color w:val="auto"/>
        </w:rPr>
        <w:t xml:space="preserve">(a)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Transfer is pursuant to Rule 144</w:t>
      </w:r>
      <w:r>
        <w:rPr>
          <w:rFonts w:ascii="Times New Roman" w:cs="Times New Roman" w:eastAsia="Times New Roman" w:hAnsi="Times New Roman"/>
          <w:sz w:val="17"/>
          <w:szCs w:val="17"/>
          <w:color w:val="auto"/>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4" w:lineRule="exact"/>
        <w:rPr>
          <w:sz w:val="20"/>
          <w:szCs w:val="20"/>
          <w:color w:val="auto"/>
        </w:rPr>
      </w:pPr>
    </w:p>
    <w:p>
      <w:pPr>
        <w:ind w:firstLine="426"/>
        <w:spacing w:after="0" w:line="219" w:lineRule="exact"/>
        <w:rPr>
          <w:sz w:val="20"/>
          <w:szCs w:val="20"/>
          <w:color w:val="auto"/>
        </w:rPr>
      </w:pP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Transfer is Pursuant to Regulation S</w:t>
      </w:r>
      <w:r>
        <w:rPr>
          <w:rFonts w:ascii="Times New Roman" w:cs="Times New Roman" w:eastAsia="Times New Roman" w:hAnsi="Times New Roman"/>
          <w:sz w:val="17"/>
          <w:szCs w:val="17"/>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4" w:lineRule="exact"/>
        <w:rPr>
          <w:sz w:val="20"/>
          <w:szCs w:val="20"/>
          <w:color w:val="auto"/>
        </w:rPr>
      </w:pPr>
    </w:p>
    <w:p>
      <w:pPr>
        <w:ind w:right="80" w:firstLine="426"/>
        <w:spacing w:after="0" w:line="221" w:lineRule="exact"/>
        <w:rPr>
          <w:sz w:val="20"/>
          <w:szCs w:val="20"/>
          <w:color w:val="auto"/>
        </w:rPr>
      </w:pPr>
      <w:r>
        <w:rPr>
          <w:rFonts w:ascii="Times New Roman" w:cs="Times New Roman" w:eastAsia="Times New Roman" w:hAnsi="Times New Roman"/>
          <w:sz w:val="17"/>
          <w:szCs w:val="17"/>
          <w:color w:val="auto"/>
        </w:rPr>
        <w:t xml:space="preserve">(c)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Transfer is Pursuant to Other Exemption</w:t>
      </w:r>
      <w:r>
        <w:rPr>
          <w:rFonts w:ascii="Times New Roman" w:cs="Times New Roman" w:eastAsia="Times New Roman" w:hAnsi="Times New Roman"/>
          <w:sz w:val="17"/>
          <w:szCs w:val="17"/>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10660"/>
          </w:cols>
          <w:pgMar w:left="620" w:top="265" w:right="619" w:bottom="1440" w:gutter="0" w:footer="0" w:header="0"/>
        </w:sectPr>
      </w:pPr>
    </w:p>
    <w:bookmarkStart w:id="372" w:name="page373"/>
    <w:bookmarkEnd w:id="37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302260</wp:posOffset>
            </wp:positionV>
            <wp:extent cx="27051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9">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      [Insert Name of Transferor]</w:t>
      </w:r>
    </w:p>
    <w:p>
      <w:pPr>
        <w:spacing w:after="0" w:line="24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20320</wp:posOffset>
            </wp:positionV>
            <wp:extent cx="23818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0">
                      <a:extLst>
                        <a:ext uri="{28A0092B-C50C-407E-A947-70E740481C1C}"/>
                      </a:extLst>
                    </a:blip>
                    <a:srcRect/>
                    <a:stretch>
                      <a:fillRect/>
                    </a:stretch>
                  </pic:blipFill>
                  <pic:spPr bwMode="auto">
                    <a:xfrm>
                      <a:off x="0" y="0"/>
                      <a:ext cx="2381885"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-3810</wp:posOffset>
            </wp:positionV>
            <wp:extent cx="5530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1">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1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9839"/>
          </w:cols>
          <w:pgMar w:left="620" w:top="264" w:right="1440" w:bottom="1440" w:gutter="0" w:footer="0" w:header="0"/>
        </w:sectPr>
      </w:pPr>
    </w:p>
    <w:bookmarkStart w:id="373" w:name="page374"/>
    <w:bookmarkEnd w:id="373"/>
    <w:p>
      <w:pPr>
        <w:jc w:val="right"/>
        <w:ind w:right="28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ANNEX A TO CERTIFICATE OF TRANSFER</w:t>
      </w:r>
    </w:p>
    <w:p>
      <w:pPr>
        <w:spacing w:after="0" w:line="131" w:lineRule="exact"/>
        <w:rPr>
          <w:sz w:val="20"/>
          <w:szCs w:val="20"/>
          <w:color w:val="auto"/>
        </w:rPr>
      </w:pPr>
    </w:p>
    <w:p>
      <w:pPr>
        <w:ind w:left="428" w:hanging="428"/>
        <w:spacing w:after="0"/>
        <w:tabs>
          <w:tab w:leader="none" w:pos="428"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owns and proposes to transfer the following:</w:t>
      </w:r>
    </w:p>
    <w:p>
      <w:pPr>
        <w:spacing w:after="0" w:line="223" w:lineRule="exact"/>
        <w:rPr>
          <w:sz w:val="20"/>
          <w:szCs w:val="20"/>
          <w:color w:val="auto"/>
        </w:rPr>
      </w:pPr>
    </w:p>
    <w:p>
      <w:pPr>
        <w:ind w:left="4268"/>
        <w:spacing w:after="0"/>
        <w:rPr>
          <w:sz w:val="20"/>
          <w:szCs w:val="20"/>
          <w:color w:val="auto"/>
        </w:rPr>
      </w:pPr>
      <w:r>
        <w:rPr>
          <w:rFonts w:ascii="Times New Roman" w:cs="Times New Roman" w:eastAsia="Times New Roman" w:hAnsi="Times New Roman"/>
          <w:sz w:val="17"/>
          <w:szCs w:val="17"/>
          <w:color w:val="auto"/>
        </w:rPr>
        <w:t>[CHECK ONE OF (a) OR (b)]</w:t>
      </w:r>
    </w:p>
    <w:p>
      <w:pPr>
        <w:spacing w:after="0" w:line="210" w:lineRule="exact"/>
        <w:rPr>
          <w:sz w:val="20"/>
          <w:szCs w:val="20"/>
          <w:color w:val="auto"/>
        </w:rPr>
      </w:pPr>
    </w:p>
    <w:p>
      <w:pPr>
        <w:ind w:left="428" w:hanging="428"/>
        <w:spacing w:after="0" w:line="196" w:lineRule="exact"/>
        <w:tabs>
          <w:tab w:leader="none" w:pos="428" w:val="left"/>
        </w:tabs>
        <w:numPr>
          <w:ilvl w:val="0"/>
          <w:numId w:val="2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 beneficial interest in the:</w:t>
      </w:r>
    </w:p>
    <w:p>
      <w:pPr>
        <w:spacing w:after="0" w:line="248" w:lineRule="exact"/>
        <w:rPr>
          <w:rFonts w:ascii="Times New Roman" w:cs="Times New Roman" w:eastAsia="Times New Roman" w:hAnsi="Times New Roman"/>
          <w:sz w:val="17"/>
          <w:szCs w:val="17"/>
          <w:color w:val="auto"/>
        </w:rPr>
      </w:pPr>
    </w:p>
    <w:p>
      <w:pPr>
        <w:ind w:left="1908" w:hanging="523"/>
        <w:spacing w:after="0" w:line="196" w:lineRule="exact"/>
        <w:tabs>
          <w:tab w:leader="none" w:pos="1908" w:val="left"/>
        </w:tabs>
        <w:numPr>
          <w:ilvl w:val="2"/>
          <w:numId w:val="2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(CUSIP ), or</w:t>
      </w:r>
    </w:p>
    <w:p>
      <w:pPr>
        <w:spacing w:after="0" w:line="248" w:lineRule="exact"/>
        <w:rPr>
          <w:rFonts w:ascii="Times New Roman" w:cs="Times New Roman" w:eastAsia="Times New Roman" w:hAnsi="Times New Roman"/>
          <w:sz w:val="17"/>
          <w:szCs w:val="17"/>
          <w:color w:val="auto"/>
        </w:rPr>
      </w:pPr>
    </w:p>
    <w:p>
      <w:pPr>
        <w:ind w:left="1908" w:hanging="523"/>
        <w:spacing w:after="0" w:line="196" w:lineRule="exact"/>
        <w:tabs>
          <w:tab w:leader="none" w:pos="1908" w:val="left"/>
        </w:tabs>
        <w:numPr>
          <w:ilvl w:val="2"/>
          <w:numId w:val="2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(CUSIP ); or</w:t>
      </w:r>
    </w:p>
    <w:p>
      <w:pPr>
        <w:spacing w:after="0" w:line="248" w:lineRule="exact"/>
        <w:rPr>
          <w:rFonts w:ascii="Times New Roman" w:cs="Times New Roman" w:eastAsia="Times New Roman" w:hAnsi="Times New Roman"/>
          <w:sz w:val="17"/>
          <w:szCs w:val="17"/>
          <w:color w:val="auto"/>
        </w:rPr>
      </w:pPr>
    </w:p>
    <w:p>
      <w:pPr>
        <w:ind w:left="1368" w:hanging="414"/>
        <w:spacing w:after="0" w:line="196" w:lineRule="exact"/>
        <w:tabs>
          <w:tab w:leader="none" w:pos="1368" w:val="left"/>
        </w:tabs>
        <w:numPr>
          <w:ilvl w:val="1"/>
          <w:numId w:val="2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 Restricted Definitive Note.</w:t>
      </w:r>
    </w:p>
    <w:p>
      <w:pPr>
        <w:spacing w:after="0" w:line="287" w:lineRule="exact"/>
        <w:rPr>
          <w:sz w:val="20"/>
          <w:szCs w:val="20"/>
          <w:color w:val="auto"/>
        </w:rPr>
      </w:pPr>
    </w:p>
    <w:p>
      <w:pPr>
        <w:ind w:left="428" w:hanging="428"/>
        <w:spacing w:after="0"/>
        <w:tabs>
          <w:tab w:leader="none" w:pos="42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Transfer the Transferee will hold:</w:t>
      </w:r>
    </w:p>
    <w:p>
      <w:pPr>
        <w:spacing w:after="0" w:line="223"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7"/>
          <w:szCs w:val="17"/>
          <w:color w:val="auto"/>
        </w:rPr>
        <w:t>[CHECK ONE]</w:t>
      </w:r>
    </w:p>
    <w:p>
      <w:pPr>
        <w:spacing w:after="0" w:line="210" w:lineRule="exact"/>
        <w:rPr>
          <w:sz w:val="20"/>
          <w:szCs w:val="20"/>
          <w:color w:val="auto"/>
        </w:rPr>
      </w:pPr>
    </w:p>
    <w:p>
      <w:pPr>
        <w:ind w:left="1368" w:hanging="414"/>
        <w:spacing w:after="0" w:line="196" w:lineRule="exact"/>
        <w:tabs>
          <w:tab w:leader="none" w:pos="1368" w:val="left"/>
        </w:tabs>
        <w:numPr>
          <w:ilvl w:val="1"/>
          <w:numId w:val="25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 beneficial interest in the:</w:t>
      </w:r>
    </w:p>
    <w:p>
      <w:pPr>
        <w:spacing w:after="0" w:line="248" w:lineRule="exact"/>
        <w:rPr>
          <w:rFonts w:ascii="Times New Roman" w:cs="Times New Roman" w:eastAsia="Times New Roman" w:hAnsi="Times New Roman"/>
          <w:sz w:val="17"/>
          <w:szCs w:val="17"/>
          <w:color w:val="auto"/>
        </w:rPr>
      </w:pPr>
    </w:p>
    <w:p>
      <w:pPr>
        <w:ind w:left="1908" w:hanging="523"/>
        <w:spacing w:after="0" w:line="196" w:lineRule="exact"/>
        <w:tabs>
          <w:tab w:leader="none" w:pos="1908" w:val="left"/>
        </w:tabs>
        <w:numPr>
          <w:ilvl w:val="2"/>
          <w:numId w:val="25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(CUSIP ), or</w:t>
      </w:r>
    </w:p>
    <w:p>
      <w:pPr>
        <w:spacing w:after="0" w:line="248" w:lineRule="exact"/>
        <w:rPr>
          <w:rFonts w:ascii="Times New Roman" w:cs="Times New Roman" w:eastAsia="Times New Roman" w:hAnsi="Times New Roman"/>
          <w:sz w:val="17"/>
          <w:szCs w:val="17"/>
          <w:color w:val="auto"/>
        </w:rPr>
      </w:pPr>
    </w:p>
    <w:p>
      <w:pPr>
        <w:ind w:left="1908" w:hanging="523"/>
        <w:spacing w:after="0" w:line="196" w:lineRule="exact"/>
        <w:tabs>
          <w:tab w:leader="none" w:pos="1908" w:val="left"/>
        </w:tabs>
        <w:numPr>
          <w:ilvl w:val="2"/>
          <w:numId w:val="25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(CUSIP ), or</w:t>
      </w:r>
    </w:p>
    <w:p>
      <w:pPr>
        <w:spacing w:after="0" w:line="248" w:lineRule="exact"/>
        <w:rPr>
          <w:rFonts w:ascii="Times New Roman" w:cs="Times New Roman" w:eastAsia="Times New Roman" w:hAnsi="Times New Roman"/>
          <w:sz w:val="17"/>
          <w:szCs w:val="17"/>
          <w:color w:val="auto"/>
        </w:rPr>
      </w:pPr>
    </w:p>
    <w:p>
      <w:pPr>
        <w:ind w:left="1908" w:hanging="523"/>
        <w:spacing w:after="0" w:line="196" w:lineRule="exact"/>
        <w:tabs>
          <w:tab w:leader="none" w:pos="1908" w:val="left"/>
        </w:tabs>
        <w:numPr>
          <w:ilvl w:val="2"/>
          <w:numId w:val="25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Unrestricted Global Note (CUSIP ); or</w:t>
      </w:r>
    </w:p>
    <w:p>
      <w:pPr>
        <w:spacing w:after="0" w:line="248" w:lineRule="exact"/>
        <w:rPr>
          <w:rFonts w:ascii="Times New Roman" w:cs="Times New Roman" w:eastAsia="Times New Roman" w:hAnsi="Times New Roman"/>
          <w:sz w:val="17"/>
          <w:szCs w:val="17"/>
          <w:color w:val="auto"/>
        </w:rPr>
      </w:pPr>
    </w:p>
    <w:p>
      <w:pPr>
        <w:ind w:left="1368" w:hanging="414"/>
        <w:spacing w:after="0" w:line="196" w:lineRule="exact"/>
        <w:tabs>
          <w:tab w:leader="none" w:pos="1368" w:val="left"/>
        </w:tabs>
        <w:numPr>
          <w:ilvl w:val="1"/>
          <w:numId w:val="25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 Restricted Definitive Note; or</w:t>
      </w:r>
    </w:p>
    <w:p>
      <w:pPr>
        <w:spacing w:after="0" w:line="248" w:lineRule="exact"/>
        <w:rPr>
          <w:rFonts w:ascii="Times New Roman" w:cs="Times New Roman" w:eastAsia="Times New Roman" w:hAnsi="Times New Roman"/>
          <w:sz w:val="17"/>
          <w:szCs w:val="17"/>
          <w:color w:val="auto"/>
        </w:rPr>
      </w:pPr>
    </w:p>
    <w:p>
      <w:pPr>
        <w:ind w:left="1368" w:hanging="414"/>
        <w:spacing w:after="0" w:line="196" w:lineRule="exact"/>
        <w:tabs>
          <w:tab w:leader="none" w:pos="1368" w:val="left"/>
        </w:tabs>
        <w:numPr>
          <w:ilvl w:val="1"/>
          <w:numId w:val="25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an Unrestricted Definitive Note,</w:t>
      </w:r>
    </w:p>
    <w:p>
      <w:pPr>
        <w:spacing w:after="0" w:line="287"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terms of the Indenture.</w:t>
      </w:r>
    </w:p>
    <w:p>
      <w:pPr>
        <w:spacing w:after="0" w:line="157"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9847"/>
          </w:cols>
          <w:pgMar w:left="612" w:top="264" w:right="1440"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CERTIFICATE OF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[Company address block]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[Registrar address block]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 6.500% Senior Notes due 2033 of Melco Resorts Finance Limited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(CUSIP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-3810</wp:posOffset>
            </wp:positionV>
            <wp:extent cx="5530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4">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201" w:lineRule="exact"/>
        <w:rPr>
          <w:sz w:val="20"/>
          <w:szCs w:val="20"/>
          <w:color w:val="auto"/>
        </w:rPr>
      </w:pPr>
    </w:p>
    <w:p>
      <w:pPr>
        <w:jc w:val="both"/>
        <w:ind w:right="280" w:firstLine="426"/>
        <w:spacing w:after="0" w:line="277" w:lineRule="auto"/>
        <w:rPr>
          <w:sz w:val="20"/>
          <w:szCs w:val="20"/>
          <w:color w:val="auto"/>
        </w:rPr>
      </w:pPr>
      <w:r>
        <w:rPr>
          <w:rFonts w:ascii="Times New Roman" w:cs="Times New Roman" w:eastAsia="Times New Roman" w:hAnsi="Times New Roman"/>
          <w:sz w:val="17"/>
          <w:szCs w:val="17"/>
          <w:color w:val="auto"/>
        </w:rPr>
        <w:t>Reference is hereby made to the Indenture, dated as of September 24, 2025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among Melco Resorts Finance Limited, as issuer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Deutsche Bank Trust Company Americas, as trustee, paying agent, registrar and transfer agent. Capitalized terms used but not defined herein shall have the meanings given to them in the Indenture.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7"/>
                <w:szCs w:val="17"/>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1"/>
                <w:szCs w:val="1"/>
                <w:color w:val="auto"/>
                <w:w w:val="4294967291"/>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92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(the “</w:t>
            </w:r>
            <w:r>
              <w:rPr>
                <w:rFonts w:ascii="Times New Roman" w:cs="Times New Roman" w:eastAsia="Times New Roman" w:hAnsi="Times New Roman"/>
                <w:sz w:val="17"/>
                <w:szCs w:val="17"/>
                <w:i w:val="1"/>
                <w:iCs w:val="1"/>
                <w:color w:val="auto"/>
              </w:rPr>
              <w:t>Owner</w:t>
            </w:r>
            <w:r>
              <w:rPr>
                <w:rFonts w:ascii="Times New Roman" w:cs="Times New Roman" w:eastAsia="Times New Roman" w:hAnsi="Times New Roman"/>
                <w:sz w:val="17"/>
                <w:szCs w:val="17"/>
                <w:color w:val="auto"/>
              </w:rPr>
              <w:t>”) owns and proposes to exchange the Note[s] or interest in such Note[s] specified herein, in the principal amount of</w:t>
            </w:r>
          </w:p>
        </w:tc>
      </w:tr>
      <w:tr>
        <w:trPr>
          <w:trHeight w:val="20"/>
        </w:trPr>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r>
      <w:tr>
        <w:trPr>
          <w:trHeight w:val="189"/>
        </w:trPr>
        <w:tc>
          <w:tcPr>
            <w:tcW w:w="4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 xml:space="preserve">US$ </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tcPr>
          <w:p>
            <w:pPr>
              <w:spacing w:after="0"/>
              <w:rPr>
                <w:sz w:val="16"/>
                <w:szCs w:val="16"/>
                <w:color w:val="auto"/>
              </w:rPr>
            </w:pPr>
          </w:p>
        </w:tc>
        <w:tc>
          <w:tcPr>
            <w:tcW w:w="91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in such Note[s] or interests (the “</w:t>
            </w:r>
            <w:r>
              <w:rPr>
                <w:rFonts w:ascii="Times New Roman" w:cs="Times New Roman" w:eastAsia="Times New Roman" w:hAnsi="Times New Roman"/>
                <w:sz w:val="17"/>
                <w:szCs w:val="17"/>
                <w:i w:val="1"/>
                <w:iCs w:val="1"/>
                <w:color w:val="auto"/>
              </w:rPr>
              <w:t>Exchange</w:t>
            </w:r>
            <w:r>
              <w:rPr>
                <w:rFonts w:ascii="Times New Roman" w:cs="Times New Roman" w:eastAsia="Times New Roman" w:hAnsi="Times New Roman"/>
                <w:sz w:val="17"/>
                <w:szCs w:val="17"/>
                <w:color w:val="auto"/>
              </w:rPr>
              <w:t>”). In connection with the Exchange, the Owner hereby certifies that:</w:t>
            </w:r>
          </w:p>
        </w:tc>
      </w:tr>
      <w:tr>
        <w:trPr>
          <w:trHeight w:val="20"/>
        </w:trPr>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firstLine="426"/>
        <w:spacing w:after="0" w:line="298"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b w:val="1"/>
          <w:bCs w:val="1"/>
          <w:u w:val="single" w:color="auto"/>
          <w:color w:val="auto"/>
        </w:rPr>
        <w:t>Exchange of Restricted Definitive Notes or Beneficial Interests in a Restricted Global Note for Unrestricted Definitive Notes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Beneficial Interests in an Unrestricted Global Note</w:t>
      </w:r>
    </w:p>
    <w:p>
      <w:pPr>
        <w:spacing w:after="0" w:line="105" w:lineRule="exact"/>
        <w:rPr>
          <w:sz w:val="20"/>
          <w:szCs w:val="20"/>
          <w:color w:val="auto"/>
        </w:rPr>
      </w:pPr>
    </w:p>
    <w:p>
      <w:pPr>
        <w:ind w:right="20" w:firstLine="426"/>
        <w:spacing w:after="0" w:line="217" w:lineRule="exact"/>
        <w:rPr>
          <w:sz w:val="20"/>
          <w:szCs w:val="20"/>
          <w:color w:val="auto"/>
        </w:rPr>
      </w:pPr>
      <w:r>
        <w:rPr>
          <w:rFonts w:ascii="Times New Roman" w:cs="Times New Roman" w:eastAsia="Times New Roman" w:hAnsi="Times New Roman"/>
          <w:sz w:val="17"/>
          <w:szCs w:val="17"/>
          <w:color w:val="auto"/>
        </w:rPr>
        <w:t xml:space="preserve">(a)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Exchange is from beneficial interest in a Restricted Global Note to beneficial interest in an Unrestricted Global Note</w:t>
      </w:r>
      <w:r>
        <w:rPr>
          <w:rFonts w:ascii="Times New Roman" w:cs="Times New Roman" w:eastAsia="Times New Roman" w:hAnsi="Times New Roman"/>
          <w:sz w:val="17"/>
          <w:szCs w:val="17"/>
          <w:color w:val="auto"/>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56" w:lineRule="exact"/>
        <w:rPr>
          <w:sz w:val="20"/>
          <w:szCs w:val="20"/>
          <w:color w:val="auto"/>
        </w:rPr>
      </w:pPr>
    </w:p>
    <w:p>
      <w:pPr>
        <w:ind w:right="20" w:firstLine="426"/>
        <w:spacing w:after="0" w:line="219" w:lineRule="exact"/>
        <w:rPr>
          <w:sz w:val="20"/>
          <w:szCs w:val="20"/>
          <w:color w:val="auto"/>
        </w:rPr>
      </w:pP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Exchange is from beneficial interest in a Restricted Global Note to Unrestricted Definitive Note</w:t>
      </w:r>
      <w:r>
        <w:rPr>
          <w:rFonts w:ascii="Times New Roman" w:cs="Times New Roman" w:eastAsia="Times New Roman" w:hAnsi="Times New Roman"/>
          <w:sz w:val="17"/>
          <w:szCs w:val="17"/>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54" w:lineRule="exact"/>
        <w:rPr>
          <w:sz w:val="20"/>
          <w:szCs w:val="20"/>
          <w:color w:val="auto"/>
        </w:rPr>
      </w:pPr>
    </w:p>
    <w:p>
      <w:pPr>
        <w:ind w:right="40" w:firstLine="426"/>
        <w:spacing w:after="0" w:line="219" w:lineRule="exact"/>
        <w:rPr>
          <w:sz w:val="20"/>
          <w:szCs w:val="20"/>
          <w:color w:val="auto"/>
        </w:rPr>
      </w:pPr>
      <w:r>
        <w:rPr>
          <w:rFonts w:ascii="Times New Roman" w:cs="Times New Roman" w:eastAsia="Times New Roman" w:hAnsi="Times New Roman"/>
          <w:sz w:val="17"/>
          <w:szCs w:val="17"/>
          <w:color w:val="auto"/>
        </w:rPr>
        <w:t xml:space="preserve">(c)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Exchange is from Restricted Definitive Note to beneficial interest in an Unrestricted Global Note</w:t>
      </w:r>
      <w:r>
        <w:rPr>
          <w:rFonts w:ascii="Times New Roman" w:cs="Times New Roman" w:eastAsia="Times New Roman" w:hAnsi="Times New Roman"/>
          <w:sz w:val="17"/>
          <w:szCs w:val="17"/>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w:t>
      </w:r>
    </w:p>
    <w:p>
      <w:pPr>
        <w:sectPr>
          <w:pgSz w:w="11900" w:h="16838" w:orient="portrait"/>
          <w:cols w:equalWidth="0" w:num="1">
            <w:col w:w="10660"/>
          </w:cols>
          <w:pgMar w:left="620" w:top="264" w:right="619" w:bottom="1440" w:gutter="0" w:footer="0" w:header="0"/>
        </w:sectPr>
      </w:pPr>
    </w:p>
    <w:bookmarkStart w:id="375" w:name="page376"/>
    <w:bookmarkEnd w:id="375"/>
    <w:p>
      <w:pPr>
        <w:ind w:left="8" w:right="20" w:firstLine="426"/>
        <w:spacing w:after="0" w:line="219" w:lineRule="exact"/>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(d)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Exchange is from Restricted Definitive Note to Unrestricted Definitive Note</w:t>
      </w:r>
      <w:r>
        <w:rPr>
          <w:rFonts w:ascii="Times New Roman" w:cs="Times New Roman" w:eastAsia="Times New Roman" w:hAnsi="Times New Roman"/>
          <w:sz w:val="17"/>
          <w:szCs w:val="17"/>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0" w:lineRule="exact"/>
        <w:rPr>
          <w:sz w:val="20"/>
          <w:szCs w:val="20"/>
          <w:color w:val="auto"/>
        </w:rPr>
      </w:pPr>
    </w:p>
    <w:p>
      <w:pPr>
        <w:ind w:left="8" w:firstLine="426"/>
        <w:spacing w:after="0" w:line="298"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b w:val="1"/>
          <w:bCs w:val="1"/>
          <w:u w:val="single" w:color="auto"/>
          <w:color w:val="auto"/>
        </w:rPr>
        <w:t>Exchange of Restricted Definitive Notes or Beneficial Interests in Restricted Global Notes for Restricted Definitive Notes or 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Interests in Restricted Global Notes</w:t>
      </w:r>
    </w:p>
    <w:p>
      <w:pPr>
        <w:spacing w:after="0" w:line="105" w:lineRule="exact"/>
        <w:rPr>
          <w:sz w:val="20"/>
          <w:szCs w:val="20"/>
          <w:color w:val="auto"/>
        </w:rPr>
      </w:pPr>
    </w:p>
    <w:p>
      <w:pPr>
        <w:ind w:left="8" w:firstLine="426"/>
        <w:spacing w:after="0" w:line="220" w:lineRule="exact"/>
        <w:rPr>
          <w:sz w:val="20"/>
          <w:szCs w:val="20"/>
          <w:color w:val="auto"/>
        </w:rPr>
      </w:pPr>
      <w:r>
        <w:rPr>
          <w:rFonts w:ascii="Times New Roman" w:cs="Times New Roman" w:eastAsia="Times New Roman" w:hAnsi="Times New Roman"/>
          <w:sz w:val="17"/>
          <w:szCs w:val="17"/>
          <w:color w:val="auto"/>
        </w:rPr>
        <w:t xml:space="preserve">(a)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Exchange is from beneficial interest in a Restricted Global Note to Restricted Definitive Note.</w:t>
      </w:r>
      <w:r>
        <w:rPr>
          <w:rFonts w:ascii="Times New Roman" w:cs="Times New Roman" w:eastAsia="Times New Roman" w:hAnsi="Times New Roman"/>
          <w:sz w:val="17"/>
          <w:szCs w:val="17"/>
          <w:color w:val="auto"/>
        </w:rPr>
        <w:t xml:space="preserv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55" w:lineRule="exact"/>
        <w:rPr>
          <w:sz w:val="20"/>
          <w:szCs w:val="20"/>
          <w:color w:val="auto"/>
        </w:rPr>
      </w:pPr>
    </w:p>
    <w:p>
      <w:pPr>
        <w:ind w:left="8" w:right="40" w:firstLine="426"/>
        <w:spacing w:after="0" w:line="228" w:lineRule="exact"/>
        <w:rPr>
          <w:sz w:val="20"/>
          <w:szCs w:val="20"/>
          <w:color w:val="auto"/>
        </w:rPr>
      </w:pP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Check if Exchange is from Restricted Definitive Note to beneficial interest in a Restricted Global Note</w:t>
      </w:r>
      <w:r>
        <w:rPr>
          <w:rFonts w:ascii="Times New Roman" w:cs="Times New Roman" w:eastAsia="Times New Roman" w:hAnsi="Times New Roman"/>
          <w:sz w:val="17"/>
          <w:szCs w:val="17"/>
          <w:color w:val="auto"/>
        </w:rPr>
        <w:t xml:space="preserve">. In connection with the Exchange of the Owner’s Restricted Definitive Note for a beneficial interest in the [CHECK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with an equal principal amount, the Owner hereby certifies (i) the beneficial interest is being acquired for the Owner’s own account without transfer and</w:t>
      </w:r>
    </w:p>
    <w:p>
      <w:pPr>
        <w:spacing w:after="0" w:line="2" w:lineRule="exact"/>
        <w:rPr>
          <w:sz w:val="20"/>
          <w:szCs w:val="20"/>
          <w:color w:val="auto"/>
        </w:rPr>
      </w:pPr>
    </w:p>
    <w:p>
      <w:pPr>
        <w:ind w:left="8" w:right="180" w:hanging="8"/>
        <w:spacing w:after="0" w:line="262" w:lineRule="auto"/>
        <w:tabs>
          <w:tab w:leader="none" w:pos="264"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302260</wp:posOffset>
            </wp:positionV>
            <wp:extent cx="27051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6">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408"/>
        <w:spacing w:after="0"/>
        <w:rPr>
          <w:sz w:val="20"/>
          <w:szCs w:val="20"/>
          <w:color w:val="auto"/>
        </w:rPr>
      </w:pPr>
      <w:r>
        <w:rPr>
          <w:rFonts w:ascii="Times New Roman" w:cs="Times New Roman" w:eastAsia="Times New Roman" w:hAnsi="Times New Roman"/>
          <w:sz w:val="17"/>
          <w:szCs w:val="17"/>
          <w:color w:val="auto"/>
        </w:rPr>
        <w:t>      [Insert Name of Transferor]</w:t>
      </w:r>
    </w:p>
    <w:p>
      <w:pPr>
        <w:spacing w:after="0" w:line="249" w:lineRule="exact"/>
        <w:rPr>
          <w:sz w:val="20"/>
          <w:szCs w:val="20"/>
          <w:color w:val="auto"/>
        </w:rPr>
      </w:pPr>
    </w:p>
    <w:p>
      <w:pPr>
        <w:ind w:left="6408"/>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20320</wp:posOffset>
            </wp:positionV>
            <wp:extent cx="23818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7">
                      <a:extLst>
                        <a:ext uri="{28A0092B-C50C-407E-A947-70E740481C1C}"/>
                      </a:extLst>
                    </a:blip>
                    <a:srcRect/>
                    <a:stretch>
                      <a:fillRect/>
                    </a:stretch>
                  </pic:blipFill>
                  <pic:spPr bwMode="auto">
                    <a:xfrm>
                      <a:off x="0" y="0"/>
                      <a:ext cx="2381885" cy="8255"/>
                    </a:xfrm>
                    <a:prstGeom prst="rect">
                      <a:avLst/>
                    </a:prstGeom>
                    <a:noFill/>
                  </pic:spPr>
                </pic:pic>
              </a:graphicData>
            </a:graphic>
          </wp:anchor>
        </w:drawing>
      </w:r>
    </w:p>
    <w:p>
      <w:pPr>
        <w:spacing w:after="0" w:line="20" w:lineRule="exact"/>
        <w:rPr>
          <w:sz w:val="20"/>
          <w:szCs w:val="20"/>
          <w:color w:val="auto"/>
        </w:rPr>
      </w:pPr>
    </w:p>
    <w:p>
      <w:pPr>
        <w:ind w:left="6748"/>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48"/>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-3810</wp:posOffset>
            </wp:positionV>
            <wp:extent cx="5530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8">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3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C-2</w:t>
      </w:r>
    </w:p>
    <w:p>
      <w:pPr>
        <w:sectPr>
          <w:pgSz w:w="11900" w:h="16838" w:orient="portrait"/>
          <w:cols w:equalWidth="0" w:num="1">
            <w:col w:w="10648"/>
          </w:cols>
          <w:pgMar w:left="612" w:top="227" w:right="63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List of Significant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231" w:lineRule="exact"/>
        <w:rPr>
          <w:sz w:val="20"/>
          <w:szCs w:val="20"/>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 Resorts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Cotai Investments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Holdings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International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Investments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Nominee One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Finance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Services Limited, incorporated in the Hong Kong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MSC Cotai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Holdings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One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Two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Company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Developments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Finance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Two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International Holdings Limited, incorporated in the Cayman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Investments Limited, incorporated in the British Virgin Islands</w:t>
      </w:r>
    </w:p>
    <w:p>
      <w:pPr>
        <w:sectPr>
          <w:pgSz w:w="11900" w:h="16838" w:orient="portrait"/>
          <w:cols w:equalWidth="0" w:num="1">
            <w:col w:w="10668"/>
          </w:cols>
          <w:pgMar w:left="612" w:top="119" w:right="619" w:bottom="1440" w:gutter="0" w:footer="0" w:header="0"/>
        </w:sectPr>
      </w:pPr>
    </w:p>
    <w:bookmarkStart w:id="377" w:name="page378"/>
    <w:bookmarkEnd w:id="377"/>
    <w:p>
      <w:pPr>
        <w:jc w:val="right"/>
        <w:spacing w:after="0"/>
        <w:rPr>
          <w:sz w:val="20"/>
          <w:szCs w:val="20"/>
          <w:color w:val="auto"/>
        </w:rPr>
      </w:pPr>
      <w:r>
        <w:rPr>
          <w:rFonts w:ascii="Times New Roman" w:cs="Times New Roman" w:eastAsia="Times New Roman" w:hAnsi="Times New Roman"/>
          <w:sz w:val="17"/>
          <w:szCs w:val="17"/>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593215" cy="4565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9">
                      <a:extLst>
                        <a:ext uri="{28A0092B-C50C-407E-A947-70E740481C1C}"/>
                      </a:extLst>
                    </a:blip>
                    <a:srcRect/>
                    <a:stretch>
                      <a:fillRect/>
                    </a:stretch>
                  </pic:blipFill>
                  <pic:spPr bwMode="auto">
                    <a:xfrm>
                      <a:off x="0" y="0"/>
                      <a:ext cx="1593215" cy="45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POLICY FOR THE PREVENTION OF INSIDER TRADING</w:t>
      </w:r>
    </w:p>
    <w:p>
      <w:pPr>
        <w:spacing w:after="0" w:line="249" w:lineRule="exact"/>
        <w:rPr>
          <w:sz w:val="20"/>
          <w:szCs w:val="20"/>
          <w:color w:val="auto"/>
        </w:rPr>
      </w:pPr>
    </w:p>
    <w:p>
      <w:pPr>
        <w:ind w:left="428" w:hanging="428"/>
        <w:spacing w:after="0"/>
        <w:tabs>
          <w:tab w:leader="none" w:pos="428" w:val="left"/>
        </w:tabs>
        <w:numPr>
          <w:ilvl w:val="0"/>
          <w:numId w:val="2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p>
    <w:p>
      <w:pPr>
        <w:spacing w:after="0" w:line="120" w:lineRule="exact"/>
        <w:rPr>
          <w:rFonts w:ascii="Times New Roman" w:cs="Times New Roman" w:eastAsia="Times New Roman" w:hAnsi="Times New Roman"/>
          <w:sz w:val="17"/>
          <w:szCs w:val="17"/>
          <w:b w:val="1"/>
          <w:bCs w:val="1"/>
          <w:color w:val="auto"/>
        </w:rPr>
      </w:pPr>
    </w:p>
    <w:p>
      <w:pPr>
        <w:ind w:left="42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It is the Company’s policy to comply with all applicable securities laws in Company transactions related to Company Securities.</w:t>
      </w:r>
    </w:p>
    <w:p>
      <w:pPr>
        <w:spacing w:after="0" w:line="116" w:lineRule="exact"/>
        <w:rPr>
          <w:rFonts w:ascii="Times New Roman" w:cs="Times New Roman" w:eastAsia="Times New Roman" w:hAnsi="Times New Roman"/>
          <w:sz w:val="17"/>
          <w:szCs w:val="17"/>
          <w:b w:val="1"/>
          <w:bCs w:val="1"/>
          <w:color w:val="auto"/>
        </w:rPr>
      </w:pPr>
    </w:p>
    <w:p>
      <w:pPr>
        <w:ind w:left="428"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directors, officers and employees (and their respective Family Members) of Melco Resorts &amp; Entertainment Limited (“</w:t>
      </w:r>
      <w:r>
        <w:rPr>
          <w:rFonts w:ascii="Times New Roman" w:cs="Times New Roman" w:eastAsia="Times New Roman" w:hAnsi="Times New Roman"/>
          <w:sz w:val="17"/>
          <w:szCs w:val="17"/>
          <w:b w:val="1"/>
          <w:bCs w:val="1"/>
          <w:color w:val="auto"/>
        </w:rPr>
        <w:t>Melco</w:t>
      </w:r>
      <w:r>
        <w:rPr>
          <w:rFonts w:ascii="Times New Roman" w:cs="Times New Roman" w:eastAsia="Times New Roman" w:hAnsi="Times New Roman"/>
          <w:sz w:val="17"/>
          <w:szCs w:val="17"/>
          <w:color w:val="auto"/>
        </w:rPr>
        <w:t>”) and its subsidiaries (which, unless the context otherwise requires, are collectively referred to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are subject to the rules set forth in this Policy as applicable to them. This Policy also applies to any entities controlled by directors, officers and employees (and their respective Family Members) of the Company, including any corporations, partnerships or trusts (“</w:t>
      </w:r>
      <w:r>
        <w:rPr>
          <w:rFonts w:ascii="Times New Roman" w:cs="Times New Roman" w:eastAsia="Times New Roman" w:hAnsi="Times New Roman"/>
          <w:sz w:val="17"/>
          <w:szCs w:val="17"/>
          <w:b w:val="1"/>
          <w:bCs w:val="1"/>
          <w:color w:val="auto"/>
        </w:rPr>
        <w:t>Controlled Entities</w:t>
      </w:r>
      <w:r>
        <w:rPr>
          <w:rFonts w:ascii="Times New Roman" w:cs="Times New Roman" w:eastAsia="Times New Roman" w:hAnsi="Times New Roman"/>
          <w:sz w:val="17"/>
          <w:szCs w:val="17"/>
          <w:color w:val="auto"/>
        </w:rPr>
        <w:t>”), and transactions by these Controlled Entities should be treated for the purposes of this Policy as if they were for the individual’s own account. For purposes of this Policy, “</w:t>
      </w:r>
      <w:r>
        <w:rPr>
          <w:rFonts w:ascii="Times New Roman" w:cs="Times New Roman" w:eastAsia="Times New Roman" w:hAnsi="Times New Roman"/>
          <w:sz w:val="17"/>
          <w:szCs w:val="17"/>
          <w:b w:val="1"/>
          <w:bCs w:val="1"/>
          <w:color w:val="auto"/>
        </w:rPr>
        <w:t>Family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Members</w:t>
      </w:r>
      <w:r>
        <w:rPr>
          <w:rFonts w:ascii="Times New Roman" w:cs="Times New Roman" w:eastAsia="Times New Roman" w:hAnsi="Times New Roman"/>
          <w:sz w:val="17"/>
          <w:szCs w:val="17"/>
          <w:color w:val="auto"/>
        </w:rPr>
        <w:t>” include (i) the spouse, siblings, parents, grandparents, children, grandchildren (whether by blood or marriage-in-law), and (ii)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members of the family who reside in the individual’s household or whose transactions in Company Securities are directed by the individual or are subject to such individual’s influence or control. The attached Schedule 1 provides further guidance on which entities may be “Controlled Entities” for the purpose of this Policy. This Policy extends to all activities within and outside an individual’s Company duties. The Company may also determine that other persons should be subject to this Policy, such as contractors or consultants who have access to material, non-public or inside information.</w:t>
      </w:r>
    </w:p>
    <w:p>
      <w:pPr>
        <w:spacing w:after="0" w:line="278" w:lineRule="exact"/>
        <w:rPr>
          <w:rFonts w:ascii="Times New Roman" w:cs="Times New Roman" w:eastAsia="Times New Roman" w:hAnsi="Times New Roman"/>
          <w:sz w:val="17"/>
          <w:szCs w:val="17"/>
          <w:b w:val="1"/>
          <w:bCs w:val="1"/>
          <w:color w:val="auto"/>
        </w:rPr>
      </w:pPr>
    </w:p>
    <w:p>
      <w:pPr>
        <w:ind w:left="428"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that a subsidiary of Melco is separately listed on a stock exchange (a “</w:t>
      </w:r>
      <w:r>
        <w:rPr>
          <w:rFonts w:ascii="Times New Roman" w:cs="Times New Roman" w:eastAsia="Times New Roman" w:hAnsi="Times New Roman"/>
          <w:sz w:val="17"/>
          <w:szCs w:val="17"/>
          <w:b w:val="1"/>
          <w:bCs w:val="1"/>
          <w:color w:val="auto"/>
        </w:rPr>
        <w:t>Listed Sub</w:t>
      </w:r>
      <w:r>
        <w:rPr>
          <w:rFonts w:ascii="Times New Roman" w:cs="Times New Roman" w:eastAsia="Times New Roman" w:hAnsi="Times New Roman"/>
          <w:sz w:val="17"/>
          <w:szCs w:val="17"/>
          <w:color w:val="auto"/>
        </w:rPr>
        <w:t>”) and has a policy for the prevention of insider trading in effect as approved by its board of directors and endorsed by the Nominating and Corporate Governance Committee (the “</w:t>
      </w:r>
      <w:r>
        <w:rPr>
          <w:rFonts w:ascii="Times New Roman" w:cs="Times New Roman" w:eastAsia="Times New Roman" w:hAnsi="Times New Roman"/>
          <w:sz w:val="17"/>
          <w:szCs w:val="17"/>
          <w:b w:val="1"/>
          <w:bCs w:val="1"/>
          <w:color w:val="auto"/>
        </w:rPr>
        <w:t>NCGC</w:t>
      </w:r>
      <w:r>
        <w:rPr>
          <w:rFonts w:ascii="Times New Roman" w:cs="Times New Roman" w:eastAsia="Times New Roman" w:hAnsi="Times New Roman"/>
          <w:sz w:val="17"/>
          <w:szCs w:val="17"/>
          <w:color w:val="auto"/>
        </w:rPr>
        <w:t>”) of Melco’s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the Relevant Persons of the Listed Sub and its subsidiaries (who are not otherwise directors, officers and employees (or members of their respective households) of the Company) should be subject to the Listed Sub’s policy for the prevention of insider trading in lieu of this Policy, unless otherwise required by Melco, the Listed Sub or applicable law. We refer to all persons covered by this Policy as “</w:t>
      </w:r>
      <w:r>
        <w:rPr>
          <w:rFonts w:ascii="Times New Roman" w:cs="Times New Roman" w:eastAsia="Times New Roman" w:hAnsi="Times New Roman"/>
          <w:sz w:val="17"/>
          <w:szCs w:val="17"/>
          <w:b w:val="1"/>
          <w:bCs w:val="1"/>
          <w:color w:val="auto"/>
        </w:rPr>
        <w:t>Relevant Persons</w:t>
      </w:r>
      <w:r>
        <w:rPr>
          <w:rFonts w:ascii="Times New Roman" w:cs="Times New Roman" w:eastAsia="Times New Roman" w:hAnsi="Times New Roman"/>
          <w:sz w:val="17"/>
          <w:szCs w:val="17"/>
          <w:color w:val="auto"/>
        </w:rPr>
        <w:t>” and each reference to any director, officer or employee (and their respective Family Members) of the Company includes their respective Controlled Entities. Every Relevant Person must review this Policy. Any trading by a Relevant Person in any securities of the Company, including securities of a Listed Sub (“</w:t>
      </w:r>
      <w:r>
        <w:rPr>
          <w:rFonts w:ascii="Times New Roman" w:cs="Times New Roman" w:eastAsia="Times New Roman" w:hAnsi="Times New Roman"/>
          <w:sz w:val="17"/>
          <w:szCs w:val="17"/>
          <w:b w:val="1"/>
          <w:bCs w:val="1"/>
          <w:color w:val="auto"/>
        </w:rPr>
        <w:t>Company Securities</w:t>
      </w:r>
      <w:r>
        <w:rPr>
          <w:rFonts w:ascii="Times New Roman" w:cs="Times New Roman" w:eastAsia="Times New Roman" w:hAnsi="Times New Roman"/>
          <w:sz w:val="17"/>
          <w:szCs w:val="17"/>
          <w:color w:val="auto"/>
        </w:rPr>
        <w:t>”), whether effected in the United States or elsewhere, is subject to the rules set forth in this Policy (except for Sections III.C and Part 2 of Schedule 2, which shall only apply to the people described therein).</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8"/>
          </w:cols>
          <w:pgMar w:left="612" w:top="119" w:right="619" w:bottom="1440" w:gutter="0" w:footer="0" w:header="0"/>
        </w:sectPr>
      </w:pPr>
    </w:p>
    <w:bookmarkStart w:id="378" w:name="page379"/>
    <w:bookmarkEnd w:id="378"/>
    <w:p>
      <w:pPr>
        <w:jc w:val="both"/>
        <w:ind w:left="428" w:right="20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used in this Policy, the term “</w:t>
      </w:r>
      <w:r>
        <w:rPr>
          <w:rFonts w:ascii="Times New Roman" w:cs="Times New Roman" w:eastAsia="Times New Roman" w:hAnsi="Times New Roman"/>
          <w:sz w:val="17"/>
          <w:szCs w:val="17"/>
          <w:b w:val="1"/>
          <w:bCs w:val="1"/>
          <w:color w:val="auto"/>
        </w:rPr>
        <w:t>trade</w:t>
      </w:r>
      <w:r>
        <w:rPr>
          <w:rFonts w:ascii="Times New Roman" w:cs="Times New Roman" w:eastAsia="Times New Roman" w:hAnsi="Times New Roman"/>
          <w:sz w:val="17"/>
          <w:szCs w:val="17"/>
          <w:color w:val="auto"/>
        </w:rPr>
        <w:t>” includes giving or receiving any gift of Company Securities. This Policy also applies to transactions in Company Securities and derivative securities whose value is derived from the value of Company Securities, such as exchange-traded put or call options or swaps relating to Company Securities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28" w:right="160"/>
        <w:spacing w:after="0" w:line="261" w:lineRule="auto"/>
        <w:rPr>
          <w:sz w:val="20"/>
          <w:szCs w:val="20"/>
          <w:color w:val="auto"/>
        </w:rPr>
      </w:pPr>
      <w:r>
        <w:rPr>
          <w:rFonts w:ascii="Times New Roman" w:cs="Times New Roman" w:eastAsia="Times New Roman" w:hAnsi="Times New Roman"/>
          <w:sz w:val="17"/>
          <w:szCs w:val="17"/>
          <w:color w:val="auto"/>
        </w:rPr>
        <w:t>Questions regarding this Policy should be directed to the Company’s Legal Department in Hong Kong, which assists the Company on matters covered by this Policy. If the Chief Legal Officer of Melco (the “</w:t>
      </w:r>
      <w:r>
        <w:rPr>
          <w:rFonts w:ascii="Times New Roman" w:cs="Times New Roman" w:eastAsia="Times New Roman" w:hAnsi="Times New Roman"/>
          <w:sz w:val="17"/>
          <w:szCs w:val="17"/>
          <w:b w:val="1"/>
          <w:bCs w:val="1"/>
          <w:color w:val="auto"/>
        </w:rPr>
        <w:t>CLO</w:t>
      </w:r>
      <w:r>
        <w:rPr>
          <w:rFonts w:ascii="Times New Roman" w:cs="Times New Roman" w:eastAsia="Times New Roman" w:hAnsi="Times New Roman"/>
          <w:sz w:val="17"/>
          <w:szCs w:val="17"/>
          <w:color w:val="auto"/>
        </w:rPr>
        <w:t>”) is unavailable to carry out his or her duties under this Policy, the Senior Vice President, Group Corporate General Counsel (“</w:t>
      </w:r>
      <w:r>
        <w:rPr>
          <w:rFonts w:ascii="Times New Roman" w:cs="Times New Roman" w:eastAsia="Times New Roman" w:hAnsi="Times New Roman"/>
          <w:sz w:val="17"/>
          <w:szCs w:val="17"/>
          <w:b w:val="1"/>
          <w:bCs w:val="1"/>
          <w:color w:val="auto"/>
        </w:rPr>
        <w:t>GCGC</w:t>
      </w:r>
      <w:r>
        <w:rPr>
          <w:rFonts w:ascii="Times New Roman" w:cs="Times New Roman" w:eastAsia="Times New Roman" w:hAnsi="Times New Roman"/>
          <w:sz w:val="17"/>
          <w:szCs w:val="17"/>
          <w:color w:val="auto"/>
        </w:rPr>
        <w:t>”) of Melco may take action in the CLO’s place. All references to “you” shall be references to the Relevant Persons to whom this Policy applies.</w:t>
      </w:r>
    </w:p>
    <w:p>
      <w:pPr>
        <w:spacing w:after="0" w:line="317" w:lineRule="exact"/>
        <w:rPr>
          <w:sz w:val="20"/>
          <w:szCs w:val="20"/>
          <w:color w:val="auto"/>
        </w:rPr>
      </w:pPr>
    </w:p>
    <w:p>
      <w:pPr>
        <w:ind w:left="428" w:hanging="428"/>
        <w:spacing w:after="0"/>
        <w:tabs>
          <w:tab w:leader="none" w:pos="428" w:val="left"/>
        </w:tabs>
        <w:numPr>
          <w:ilvl w:val="0"/>
          <w:numId w:val="2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w:t>
      </w:r>
    </w:p>
    <w:p>
      <w:pPr>
        <w:spacing w:after="0" w:line="120" w:lineRule="exact"/>
        <w:rPr>
          <w:rFonts w:ascii="Times New Roman" w:cs="Times New Roman" w:eastAsia="Times New Roman" w:hAnsi="Times New Roman"/>
          <w:sz w:val="17"/>
          <w:szCs w:val="17"/>
          <w:b w:val="1"/>
          <w:bCs w:val="1"/>
          <w:color w:val="auto"/>
        </w:rPr>
      </w:pPr>
    </w:p>
    <w:p>
      <w:pPr>
        <w:ind w:left="428" w:right="6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Preventing insider trading is necessary to comply with securities laws and to preserve the reputation and integrity of the Company, as well as that of all persons affiliated with it. “Insider trading” occurs when any Relevant Person purchases or sells a security while in possession of “inside information” relating to the security in breach of a duty of trust or confidence. As explained in Section V below, “inside information” is information that is considered to be both “material” and “non-public”. Insider trading is a crime under the laws of United States, and the penalties for violating the law include imprisonment, repayment of profits, civil fines of up to three times the profit gained or loss avoided, and criminal fines of up to US$5,000,000 for individuals and US$25,000,000 for entities.</w:t>
      </w:r>
    </w:p>
    <w:p>
      <w:pPr>
        <w:spacing w:after="0" w:line="68" w:lineRule="exact"/>
        <w:rPr>
          <w:rFonts w:ascii="Times New Roman" w:cs="Times New Roman" w:eastAsia="Times New Roman" w:hAnsi="Times New Roman"/>
          <w:sz w:val="17"/>
          <w:szCs w:val="17"/>
          <w:b w:val="1"/>
          <w:bCs w:val="1"/>
          <w:color w:val="auto"/>
        </w:rPr>
      </w:pPr>
    </w:p>
    <w:p>
      <w:pPr>
        <w:ind w:left="42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Insider trading is also prohibited by this Policy and could result in serious sanctions, including dismissal from employment.</w:t>
      </w:r>
    </w:p>
    <w:p>
      <w:pPr>
        <w:spacing w:after="0" w:line="118" w:lineRule="exact"/>
        <w:rPr>
          <w:rFonts w:ascii="Times New Roman" w:cs="Times New Roman" w:eastAsia="Times New Roman" w:hAnsi="Times New Roman"/>
          <w:sz w:val="17"/>
          <w:szCs w:val="17"/>
          <w:b w:val="1"/>
          <w:bCs w:val="1"/>
          <w:color w:val="auto"/>
        </w:rPr>
      </w:pPr>
    </w:p>
    <w:p>
      <w:pPr>
        <w:ind w:left="428"/>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addition to your obligation to refrain from trading while in possession of material, non-public information, you are also prohibited from “tipping” others. The concept of unlawful tipping includes passing inside information on to another person, friend or Family Member under circumstances that suggest that you were trying to help them make a profit or avoid a loss. When tipping occurs, both the “tipper” and the “tippee” may be held liable, and this liability may extend to all those to whom the tippee turns around and gives the information. Besides being considered a form of insider trading, tipping is a serious breach of corporate confidentiality, and for this reason, you should avoid discussing sensitive information in any place where such information may be heard by others who should not hear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467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1">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27" w:lineRule="exact"/>
        <w:rPr>
          <w:sz w:val="20"/>
          <w:szCs w:val="20"/>
          <w:color w:val="auto"/>
        </w:rPr>
      </w:pPr>
    </w:p>
    <w:p>
      <w:pPr>
        <w:ind w:left="208" w:right="80" w:hanging="208"/>
        <w:spacing w:after="0" w:line="231" w:lineRule="auto"/>
        <w:tabs>
          <w:tab w:leader="none" w:pos="208" w:val="left"/>
        </w:tabs>
        <w:numPr>
          <w:ilvl w:val="0"/>
          <w:numId w:val="2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U.S. Dodd-Frank Wall Street Reform and Consumer Protection Act of 2010 expanded the definition of “security” under both the U.S. Securities Act and the U.S. Securities Exchange Act to include “security-based swaps.” Accordingly, the purchase and sale, i.e., the entry into, of total return swaps are subject to the antifraud rules of the U.S. Securities and Exchange Commission, including Rule 10b-5 and, by extension, insider trading laws developed based on Rule 10b-5.</w:t>
      </w:r>
    </w:p>
    <w:p>
      <w:pPr>
        <w:spacing w:after="0" w:line="1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8"/>
          </w:cols>
          <w:pgMar w:left="612" w:top="262" w:right="639" w:bottom="1440" w:gutter="0" w:footer="0" w:header="0"/>
        </w:sectPr>
      </w:pPr>
    </w:p>
    <w:bookmarkStart w:id="379" w:name="page380"/>
    <w:bookmarkEnd w:id="379"/>
    <w:p>
      <w:pPr>
        <w:ind w:left="428" w:right="58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Melco is a subsidiary of Melco International Development Limited (“</w:t>
      </w:r>
      <w:r>
        <w:rPr>
          <w:rFonts w:ascii="Times New Roman" w:cs="Times New Roman" w:eastAsia="Times New Roman" w:hAnsi="Times New Roman"/>
          <w:sz w:val="17"/>
          <w:szCs w:val="17"/>
          <w:b w:val="1"/>
          <w:bCs w:val="1"/>
          <w:color w:val="auto"/>
        </w:rPr>
        <w:t>Melco International</w:t>
      </w:r>
      <w:r>
        <w:rPr>
          <w:rFonts w:ascii="Times New Roman" w:cs="Times New Roman" w:eastAsia="Times New Roman" w:hAnsi="Times New Roman"/>
          <w:sz w:val="17"/>
          <w:szCs w:val="17"/>
          <w:color w:val="auto"/>
        </w:rPr>
        <w:t>”). The trading of the listed securities of Melco International by a Relevant Person is subject to restrictions. For details, please see Section VII.</w:t>
      </w:r>
    </w:p>
    <w:p>
      <w:pPr>
        <w:spacing w:after="0" w:line="39" w:lineRule="exact"/>
        <w:rPr>
          <w:sz w:val="20"/>
          <w:szCs w:val="20"/>
          <w:color w:val="auto"/>
        </w:rPr>
      </w:pPr>
    </w:p>
    <w:p>
      <w:pPr>
        <w:ind w:left="428"/>
        <w:spacing w:after="0" w:line="244" w:lineRule="auto"/>
        <w:rPr>
          <w:sz w:val="20"/>
          <w:szCs w:val="20"/>
          <w:color w:val="auto"/>
        </w:rPr>
      </w:pPr>
      <w:r>
        <w:rPr>
          <w:rFonts w:ascii="Times New Roman" w:cs="Times New Roman" w:eastAsia="Times New Roman" w:hAnsi="Times New Roman"/>
          <w:sz w:val="17"/>
          <w:szCs w:val="17"/>
          <w:color w:val="auto"/>
        </w:rPr>
        <w:t>It should be noted that this Policy only addresses compliance with United States laws and the rules of the Nasdaq Stock Market. Many other laws, including the laws of Singapore, where subsidiaries of Melco have securities listed on the Singapore Exchange Limited, the laws of the Cayman Islands and Macau, may also be implicated by trading in Company Securities. Furthermore, it should be noted that Melco International, the majority shareholder of Melco, is a company listed on the Hong Kong Stock Exchange. Hong Kong also has laws which limit a Relevant Person’s ability to trade in the securities of Melco International while in possession of price sensitive information regarding Melco International, which might include information about the business or financial condition of the Company. Insider trading is a crime under the laws of the United States and Hong Kong.</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7"/>
          <w:szCs w:val="17"/>
          <w:color w:val="auto"/>
        </w:rPr>
        <w:t xml:space="preserve"> All Relevant Persons are advised to familiarize themselves with and abide by the relevant laws governing dealings in the securities of Melco International in the jurisdictions where they are listed.</w:t>
      </w:r>
    </w:p>
    <w:p>
      <w:pPr>
        <w:spacing w:after="0" w:line="328" w:lineRule="exact"/>
        <w:rPr>
          <w:sz w:val="20"/>
          <w:szCs w:val="20"/>
          <w:color w:val="auto"/>
        </w:rPr>
      </w:pPr>
    </w:p>
    <w:p>
      <w:pPr>
        <w:ind w:left="428" w:hanging="428"/>
        <w:spacing w:after="0"/>
        <w:tabs>
          <w:tab w:leader="none" w:pos="428" w:val="left"/>
        </w:tabs>
        <w:numPr>
          <w:ilvl w:val="0"/>
          <w:numId w:val="2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Policies Prohibiting Insider Trading</w:t>
      </w:r>
    </w:p>
    <w:p>
      <w:pPr>
        <w:spacing w:after="0" w:line="131" w:lineRule="exact"/>
        <w:rPr>
          <w:rFonts w:ascii="Times New Roman" w:cs="Times New Roman" w:eastAsia="Times New Roman" w:hAnsi="Times New Roman"/>
          <w:sz w:val="17"/>
          <w:szCs w:val="17"/>
          <w:b w:val="1"/>
          <w:bCs w:val="1"/>
          <w:color w:val="auto"/>
        </w:rPr>
      </w:pPr>
    </w:p>
    <w:p>
      <w:pPr>
        <w:ind w:left="42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Prohibited Activities (Applicable to All Relevant Persons)</w:t>
      </w:r>
    </w:p>
    <w:p>
      <w:pPr>
        <w:spacing w:after="0" w:line="133" w:lineRule="exact"/>
        <w:rPr>
          <w:rFonts w:ascii="Times New Roman" w:cs="Times New Roman" w:eastAsia="Times New Roman" w:hAnsi="Times New Roman"/>
          <w:sz w:val="17"/>
          <w:szCs w:val="17"/>
          <w:b w:val="1"/>
          <w:bCs w:val="1"/>
          <w:color w:val="auto"/>
        </w:rPr>
      </w:pPr>
    </w:p>
    <w:p>
      <w:pPr>
        <w:ind w:left="1368" w:right="20" w:hanging="414"/>
        <w:spacing w:after="0" w:line="262" w:lineRule="auto"/>
        <w:tabs>
          <w:tab w:leader="none" w:pos="1368" w:val="left"/>
        </w:tabs>
        <w:numPr>
          <w:ilvl w:val="2"/>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Relevant Person may trade in Company Securities while possessing material, non-public information about the Company (even during applicable trading windows). The prohibitions under this Section III.A.(a) do not apply to purchases or sales of Company Securities made pursuant to any binding contract, specific instruction or written plan entered into during a trading window while the purchaser or seller, as applicable, was unaware of any material, non-public information and which contract, instruction or plan</w:t>
      </w:r>
    </w:p>
    <w:p>
      <w:pPr>
        <w:ind w:left="1368"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meets all requirements of the affirmative defense provided by Rule 10b5-1 (“</w:t>
      </w:r>
      <w:r>
        <w:rPr>
          <w:rFonts w:ascii="Times New Roman" w:cs="Times New Roman" w:eastAsia="Times New Roman" w:hAnsi="Times New Roman"/>
          <w:sz w:val="17"/>
          <w:szCs w:val="17"/>
          <w:b w:val="1"/>
          <w:bCs w:val="1"/>
          <w:color w:val="auto"/>
        </w:rPr>
        <w:t>Rule 10b5-1</w:t>
      </w:r>
      <w:r>
        <w:rPr>
          <w:rFonts w:ascii="Times New Roman" w:cs="Times New Roman" w:eastAsia="Times New Roman" w:hAnsi="Times New Roman"/>
          <w:sz w:val="17"/>
          <w:szCs w:val="17"/>
          <w:color w:val="auto"/>
        </w:rPr>
        <w:t>”) promulgated under the U.S. Securities Exchange Act of 1934, as amended (the “</w:t>
      </w:r>
      <w:r>
        <w:rPr>
          <w:rFonts w:ascii="Times New Roman" w:cs="Times New Roman" w:eastAsia="Times New Roman" w:hAnsi="Times New Roman"/>
          <w:sz w:val="17"/>
          <w:szCs w:val="17"/>
          <w:b w:val="1"/>
          <w:bCs w:val="1"/>
          <w:color w:val="auto"/>
        </w:rPr>
        <w:t>Securities Exchange Act</w:t>
      </w:r>
      <w:r>
        <w:rPr>
          <w:rFonts w:ascii="Times New Roman" w:cs="Times New Roman" w:eastAsia="Times New Roman" w:hAnsi="Times New Roman"/>
          <w:sz w:val="17"/>
          <w:szCs w:val="17"/>
          <w:color w:val="auto"/>
        </w:rPr>
        <w:t>”), (ii) was pre-cleared in advance pursuant to this Policy, and (iii) has not been amended or modified in any respect after such initial pre-clearance without such amendment or modification being pre-cleared in advance pursuant to this Policy and in compliance with Rule 10b5-1 (including the Cooling-Off Period as described in Part 1 of Schedule 2). See Section IV and Part 1 of Schedule 2 below for more information about 10b5-1 Trading Plans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467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3">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29" w:lineRule="exact"/>
        <w:rPr>
          <w:sz w:val="20"/>
          <w:szCs w:val="20"/>
          <w:color w:val="auto"/>
        </w:rPr>
      </w:pPr>
    </w:p>
    <w:p>
      <w:pPr>
        <w:ind w:left="208" w:right="200" w:hanging="208"/>
        <w:spacing w:after="0" w:line="231" w:lineRule="auto"/>
        <w:tabs>
          <w:tab w:leader="none" w:pos="208" w:val="left"/>
        </w:tabs>
        <w:numPr>
          <w:ilvl w:val="0"/>
          <w:numId w:val="2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Insider trading is a crime under the laws of the United States and Hong Kong, where the securities of Melco and Melco International, respectively, are listed. Penalties for violating the law include: (a) in the United States, imprisonment, repayment of profits, civil fines of up to three times the profit gained or loss avoided, and criminal fines of up to US$5,000,000 for individuals and US$25,000,000 for entities; and (b) in Hong Kong, sanctions by the Market Misconduct Tribunal, a criminal fine up to HK$10,000,000 and imprisonment for up to ten years.</w:t>
      </w:r>
    </w:p>
    <w:p>
      <w:pPr>
        <w:spacing w:after="0" w:line="12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8"/>
          </w:cols>
          <w:pgMar w:left="612" w:top="263" w:right="679" w:bottom="1440" w:gutter="0" w:footer="0" w:header="0"/>
        </w:sectPr>
      </w:pPr>
    </w:p>
    <w:bookmarkStart w:id="380" w:name="page381"/>
    <w:bookmarkEnd w:id="380"/>
    <w:p>
      <w:pPr>
        <w:ind w:left="540" w:hanging="414"/>
        <w:spacing w:after="0" w:line="266" w:lineRule="auto"/>
        <w:tabs>
          <w:tab w:leader="none" w:pos="5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 Relevant Person may disclose material, non-public information concerning the Company to any outside person (including Family Members, analysts, individual investors and members of the investment community and the media). All inquiries from stock analysts, potential investors and members of the media, and any inquiry regarding rumors, price movement or activity in any securities of the Company (including American depositary shares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representing the ordinary shares of the Company), should be handled in accordance with the Guidelines for Corporate Communications and Continuous Disclosure.</w:t>
      </w:r>
    </w:p>
    <w:p>
      <w:pPr>
        <w:spacing w:after="0" w:line="79" w:lineRule="exact"/>
        <w:rPr>
          <w:rFonts w:ascii="Times New Roman" w:cs="Times New Roman" w:eastAsia="Times New Roman" w:hAnsi="Times New Roman"/>
          <w:sz w:val="17"/>
          <w:szCs w:val="17"/>
          <w:color w:val="auto"/>
        </w:rPr>
      </w:pPr>
    </w:p>
    <w:p>
      <w:pPr>
        <w:ind w:left="540" w:right="20" w:hanging="414"/>
        <w:spacing w:after="0" w:line="269" w:lineRule="auto"/>
        <w:tabs>
          <w:tab w:leader="none" w:pos="5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Relevant Person may give trading advice of any kind about the Company to anyone while possessing material, non-public information about the Company, except that the Relevant Person should advise others not to trade if doing so by others might violate the law or this Policy. The Company strongly discourages all Relevant Persons from giving trading advice concerning the Company to third parties, even when such Relevant Person does not possess material, non-public information about the Company.</w:t>
      </w:r>
    </w:p>
    <w:p>
      <w:pPr>
        <w:spacing w:after="0" w:line="77" w:lineRule="exact"/>
        <w:rPr>
          <w:rFonts w:ascii="Times New Roman" w:cs="Times New Roman" w:eastAsia="Times New Roman" w:hAnsi="Times New Roman"/>
          <w:sz w:val="17"/>
          <w:szCs w:val="17"/>
          <w:color w:val="auto"/>
        </w:rPr>
      </w:pPr>
    </w:p>
    <w:p>
      <w:pPr>
        <w:ind w:left="540" w:hanging="414"/>
        <w:spacing w:after="0" w:line="276" w:lineRule="auto"/>
        <w:tabs>
          <w:tab w:leader="none" w:pos="5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discussions with others regarding the Company or Company Securities should be in compliance with the Company’s Guidelines for Corporate Communications and Continuous Disclosure. No Relevant Person may discuss the Company or its business in an internet “chat room” or similar internet-based forums, including any forms of social media (e.g., Facebook or Twitter).</w:t>
      </w:r>
    </w:p>
    <w:p>
      <w:pPr>
        <w:spacing w:after="0" w:line="70" w:lineRule="exact"/>
        <w:rPr>
          <w:rFonts w:ascii="Times New Roman" w:cs="Times New Roman" w:eastAsia="Times New Roman" w:hAnsi="Times New Roman"/>
          <w:sz w:val="17"/>
          <w:szCs w:val="17"/>
          <w:color w:val="auto"/>
        </w:rPr>
      </w:pPr>
    </w:p>
    <w:p>
      <w:pPr>
        <w:ind w:left="540" w:right="200" w:hanging="414"/>
        <w:spacing w:after="0" w:line="276" w:lineRule="auto"/>
        <w:tabs>
          <w:tab w:leader="none" w:pos="5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Relevant Person shall directly or indirectly tip material, non-public information acquired in the course of his or her duties with the Company to another person. In addition, material, non-public information should not be communicated to anyone outside the Company under any circumstances, or to anyone within the Company other than on a need-to-know basis.</w:t>
      </w:r>
    </w:p>
    <w:p>
      <w:pPr>
        <w:spacing w:after="0" w:line="70" w:lineRule="exact"/>
        <w:rPr>
          <w:rFonts w:ascii="Times New Roman" w:cs="Times New Roman" w:eastAsia="Times New Roman" w:hAnsi="Times New Roman"/>
          <w:sz w:val="17"/>
          <w:szCs w:val="17"/>
          <w:color w:val="auto"/>
        </w:rPr>
      </w:pPr>
    </w:p>
    <w:p>
      <w:pPr>
        <w:ind w:left="540" w:right="60" w:hanging="414"/>
        <w:spacing w:after="0" w:line="269" w:lineRule="auto"/>
        <w:tabs>
          <w:tab w:leader="none" w:pos="5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Relevant Persons may not trade in the securities of any other company while aware of material, non-public information concerning that company if the Relevant Person acquired that information in the course of his or her duties with the Company, as the authorities view that as “misappropriating” the material, non-public information and therefore may hold the Relevant Person liable for insider trading based on that action.</w:t>
      </w:r>
    </w:p>
    <w:p>
      <w:pPr>
        <w:spacing w:after="0" w:line="1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9820"/>
          </w:cols>
          <w:pgMar w:left="1440" w:top="265" w:right="639" w:bottom="1440" w:gutter="0" w:footer="0" w:header="0"/>
        </w:sectPr>
      </w:pPr>
    </w:p>
    <w:bookmarkStart w:id="381" w:name="page382"/>
    <w:bookmarkEnd w:id="381"/>
    <w:p>
      <w:pPr>
        <w:ind w:left="950" w:hanging="414"/>
        <w:spacing w:after="0" w:line="266" w:lineRule="auto"/>
        <w:tabs>
          <w:tab w:leader="none" w:pos="950" w:val="left"/>
        </w:tabs>
        <w:numPr>
          <w:ilvl w:val="2"/>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Relevant Persons may have access to material, non-public information about companies with which the Company does business (i.e., customer or supplier), competes or is negotiating a major transaction (i.e., acquisition, sale or investment). In general, Relevant Persons may not trade in that other company’s securities until the information becomes public or is no longer material. Note that information that is not material to the Company may be material to another company. For guidance on what is “material” or “non-public,” please see Sections V.A. and B below.</w:t>
      </w:r>
    </w:p>
    <w:p>
      <w:pPr>
        <w:spacing w:after="0" w:line="77"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Prohibition on Short Sales, Puts, Short Swing Profits, Calls and Options (Applicable to All Relevant Persons except as specified in</w:t>
      </w:r>
    </w:p>
    <w:p>
      <w:pPr>
        <w:spacing w:after="0" w:line="33" w:lineRule="exact"/>
        <w:rPr>
          <w:rFonts w:ascii="Times New Roman" w:cs="Times New Roman" w:eastAsia="Times New Roman" w:hAnsi="Times New Roman"/>
          <w:sz w:val="17"/>
          <w:szCs w:val="17"/>
          <w:color w:val="auto"/>
        </w:rPr>
      </w:pPr>
    </w:p>
    <w:p>
      <w:pPr>
        <w:ind w:left="750" w:hanging="227"/>
        <w:spacing w:after="0"/>
        <w:tabs>
          <w:tab w:leader="none" w:pos="750" w:val="left"/>
        </w:tabs>
        <w:numPr>
          <w:ilvl w:val="1"/>
          <w:numId w:val="26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below)</w:t>
      </w:r>
    </w:p>
    <w:p>
      <w:pPr>
        <w:spacing w:after="0" w:line="113" w:lineRule="exact"/>
        <w:rPr>
          <w:rFonts w:ascii="Times New Roman" w:cs="Times New Roman" w:eastAsia="Times New Roman" w:hAnsi="Times New Roman"/>
          <w:sz w:val="17"/>
          <w:szCs w:val="17"/>
          <w:i w:val="1"/>
          <w:iCs w:val="1"/>
          <w:color w:val="auto"/>
        </w:rPr>
      </w:pPr>
    </w:p>
    <w:p>
      <w:pPr>
        <w:ind w:left="950" w:hanging="414"/>
        <w:spacing w:after="0" w:line="259" w:lineRule="auto"/>
        <w:tabs>
          <w:tab w:leader="none" w:pos="950" w:val="left"/>
        </w:tabs>
        <w:numPr>
          <w:ilvl w:val="2"/>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Relevant Persons are prohibited from engaging in trading, hedging and entering into other derivative transactions with respect to Company Securities that may afford a Relevant Person an opportunity to profit from a market view that is adverse to the Company. These transactions are characterized by short sales, puts, calls, options, swaps, collars or similar transactions, whether or not physically or cash settled. Short sales are sales of securities that the seller does not own at the time of the sale or, if owned, that will not be delivered usually within 20 days of the sale. One usually sells short when one thinks the market is going to decline substantially or the stock will otherwise drop in value. If the stock falls in price as expected, the person selling short can then buy the stock at a lower price for delivery at the earlier sale price (this is called “covering the short”) and pocket the difference in price as profit. The Company believes that it is inappropriate for Relevant Persons to bet against Company Securities in this way. Puts, calls, options, swaps, collars or similar derivative transactions (other than options granted pursuant to the Company’s stock option plan) also afford the opportunity to profit from a market view that is adverse to the Company, and they carry a high risk of inadvertent securities law violations. In addition, such transactions can create the appearance of impropriety and may become the subject of investigative action by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or another regulatory authority in the event of any unusual activity in Company Securities or the price performance of Company Securities. All such transactions are prohibited, without prior written approval by the NCGC.</w:t>
      </w:r>
    </w:p>
    <w:p>
      <w:pPr>
        <w:spacing w:after="0" w:line="118"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230"/>
          </w:cols>
          <w:pgMar w:left="1030" w:top="265" w:right="639" w:bottom="1440" w:gutter="0" w:footer="0" w:header="0"/>
        </w:sectPr>
      </w:pPr>
    </w:p>
    <w:bookmarkStart w:id="382" w:name="page383"/>
    <w:bookmarkEnd w:id="382"/>
    <w:p>
      <w:pPr>
        <w:ind w:left="950" w:right="100" w:hanging="414"/>
        <w:spacing w:after="0" w:line="269" w:lineRule="auto"/>
        <w:tabs>
          <w:tab w:leader="none" w:pos="950"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Securities held in a margin account may be sold by the broker without the customer’s consent if the customer fails to meet a margin call. Because such a sale may occur at a time when a Relevant Person has material inside information or is otherwise not permitted to trade in Company Securities, the Company prohibits a Relevant Person from purchasing Company Securities on margin or holding Company Securities in a margin account.</w:t>
      </w:r>
    </w:p>
    <w:p>
      <w:pPr>
        <w:spacing w:after="0" w:line="77" w:lineRule="exact"/>
        <w:rPr>
          <w:rFonts w:ascii="Times New Roman" w:cs="Times New Roman" w:eastAsia="Times New Roman" w:hAnsi="Times New Roman"/>
          <w:sz w:val="17"/>
          <w:szCs w:val="17"/>
          <w:color w:val="auto"/>
        </w:rPr>
      </w:pPr>
    </w:p>
    <w:p>
      <w:pPr>
        <w:ind w:left="950" w:right="20" w:hanging="414"/>
        <w:spacing w:after="0" w:line="276" w:lineRule="auto"/>
        <w:tabs>
          <w:tab w:leader="none" w:pos="950"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does not apply to a Relevant Person’s exercise of an employee share option. This Policy does apply, however, to any sale of the underlying share or to a cashless exercise of the option through a broker, as this entails selling a portion of the underlying stock to cover the costs of such exercise.</w:t>
      </w:r>
    </w:p>
    <w:p>
      <w:pPr>
        <w:spacing w:after="0" w:line="68"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Trading Windows (Applicable to Directors, Officers, Designated Persons and their Controlled Entities)</w:t>
      </w:r>
    </w:p>
    <w:p>
      <w:pPr>
        <w:spacing w:after="0" w:line="133" w:lineRule="exact"/>
        <w:rPr>
          <w:rFonts w:ascii="Times New Roman" w:cs="Times New Roman" w:eastAsia="Times New Roman" w:hAnsi="Times New Roman"/>
          <w:sz w:val="17"/>
          <w:szCs w:val="17"/>
          <w:color w:val="auto"/>
        </w:rPr>
      </w:pPr>
    </w:p>
    <w:p>
      <w:pPr>
        <w:ind w:left="950" w:right="60" w:hanging="414"/>
        <w:spacing w:after="0" w:line="295" w:lineRule="auto"/>
        <w:tabs>
          <w:tab w:leader="none" w:pos="95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Persons Affected</w:t>
      </w:r>
      <w:r>
        <w:rPr>
          <w:rFonts w:ascii="Times New Roman" w:cs="Times New Roman" w:eastAsia="Times New Roman" w:hAnsi="Times New Roman"/>
          <w:sz w:val="17"/>
          <w:szCs w:val="17"/>
          <w:color w:val="auto"/>
        </w:rPr>
        <w:t>. The Company has determined that the following are prohibited from trading in Company Securities except within applicable “trading windows” described below:</w:t>
      </w:r>
    </w:p>
    <w:p>
      <w:pPr>
        <w:spacing w:after="0" w:line="53" w:lineRule="exact"/>
        <w:rPr>
          <w:rFonts w:ascii="Times New Roman" w:cs="Times New Roman" w:eastAsia="Times New Roman" w:hAnsi="Times New Roman"/>
          <w:sz w:val="17"/>
          <w:szCs w:val="17"/>
          <w:color w:val="auto"/>
        </w:rPr>
      </w:pPr>
    </w:p>
    <w:p>
      <w:pPr>
        <w:ind w:left="1490" w:right="500" w:hanging="523"/>
        <w:spacing w:after="0" w:line="298" w:lineRule="auto"/>
        <w:tabs>
          <w:tab w:leader="none" w:pos="1490" w:val="left"/>
        </w:tabs>
        <w:numPr>
          <w:ilvl w:val="2"/>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the Company’s directors and officers from time to time (including the Chief Executive Officer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all the Executive Vice Presidents or equivalents);</w:t>
      </w:r>
    </w:p>
    <w:p>
      <w:pPr>
        <w:spacing w:after="0" w:line="52" w:lineRule="exact"/>
        <w:rPr>
          <w:rFonts w:ascii="Times New Roman" w:cs="Times New Roman" w:eastAsia="Times New Roman" w:hAnsi="Times New Roman"/>
          <w:sz w:val="17"/>
          <w:szCs w:val="17"/>
          <w:color w:val="auto"/>
        </w:rPr>
      </w:pPr>
    </w:p>
    <w:p>
      <w:pPr>
        <w:ind w:left="1490" w:right="40" w:hanging="523"/>
        <w:spacing w:after="0" w:line="295" w:lineRule="auto"/>
        <w:tabs>
          <w:tab w:leader="none" w:pos="1490" w:val="left"/>
        </w:tabs>
        <w:numPr>
          <w:ilvl w:val="2"/>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Relevant Persons who are designated by the Company and served with notices that they are subject to Trading Windows (the “</w:t>
      </w:r>
      <w:r>
        <w:rPr>
          <w:rFonts w:ascii="Times New Roman" w:cs="Times New Roman" w:eastAsia="Times New Roman" w:hAnsi="Times New Roman"/>
          <w:sz w:val="17"/>
          <w:szCs w:val="17"/>
          <w:b w:val="1"/>
          <w:bCs w:val="1"/>
          <w:color w:val="auto"/>
        </w:rPr>
        <w:t>Designated Persons</w:t>
      </w:r>
      <w:r>
        <w:rPr>
          <w:rFonts w:ascii="Times New Roman" w:cs="Times New Roman" w:eastAsia="Times New Roman" w:hAnsi="Times New Roman"/>
          <w:sz w:val="17"/>
          <w:szCs w:val="17"/>
          <w:color w:val="auto"/>
        </w:rPr>
        <w:t>”), such notice to be in a form as the CLO may designate or approve from time to time (Form I);</w:t>
      </w:r>
    </w:p>
    <w:p>
      <w:pPr>
        <w:spacing w:after="0" w:line="55" w:lineRule="exact"/>
        <w:rPr>
          <w:rFonts w:ascii="Times New Roman" w:cs="Times New Roman" w:eastAsia="Times New Roman" w:hAnsi="Times New Roman"/>
          <w:sz w:val="17"/>
          <w:szCs w:val="17"/>
          <w:color w:val="auto"/>
        </w:rPr>
      </w:pPr>
    </w:p>
    <w:p>
      <w:pPr>
        <w:ind w:left="1490" w:hanging="523"/>
        <w:spacing w:after="0"/>
        <w:tabs>
          <w:tab w:leader="none" w:pos="1490" w:val="left"/>
        </w:tabs>
        <w:numPr>
          <w:ilvl w:val="2"/>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Family Member of the Company’s directors, officers and Designated Persons; and</w:t>
      </w:r>
    </w:p>
    <w:p>
      <w:pPr>
        <w:spacing w:after="0" w:line="131" w:lineRule="exact"/>
        <w:rPr>
          <w:rFonts w:ascii="Times New Roman" w:cs="Times New Roman" w:eastAsia="Times New Roman" w:hAnsi="Times New Roman"/>
          <w:sz w:val="17"/>
          <w:szCs w:val="17"/>
          <w:color w:val="auto"/>
        </w:rPr>
      </w:pPr>
    </w:p>
    <w:p>
      <w:pPr>
        <w:ind w:left="1490" w:hanging="523"/>
        <w:spacing w:after="0"/>
        <w:tabs>
          <w:tab w:leader="none" w:pos="1490" w:val="left"/>
        </w:tabs>
        <w:numPr>
          <w:ilvl w:val="2"/>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Controlled Entities of any person covered by (i) through (iii) above.</w:t>
      </w:r>
    </w:p>
    <w:p>
      <w:pPr>
        <w:spacing w:after="0" w:line="131" w:lineRule="exact"/>
        <w:rPr>
          <w:rFonts w:ascii="Times New Roman" w:cs="Times New Roman" w:eastAsia="Times New Roman" w:hAnsi="Times New Roman"/>
          <w:sz w:val="17"/>
          <w:szCs w:val="17"/>
          <w:color w:val="auto"/>
        </w:rPr>
      </w:pPr>
    </w:p>
    <w:p>
      <w:pPr>
        <w:ind w:left="950" w:hanging="414"/>
        <w:spacing w:after="0" w:line="260" w:lineRule="auto"/>
        <w:tabs>
          <w:tab w:leader="none" w:pos="95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Window</w:t>
      </w:r>
      <w:r>
        <w:rPr>
          <w:rFonts w:ascii="Times New Roman" w:cs="Times New Roman" w:eastAsia="Times New Roman" w:hAnsi="Times New Roman"/>
          <w:sz w:val="17"/>
          <w:szCs w:val="17"/>
          <w:color w:val="auto"/>
        </w:rPr>
        <w:t>. A trading window begins at the opening of trading on the second full trading day following the Company’s widespread public release of quarterly or year-end operating results and ends at the close of trading on the last day of the then-current quarter. Except as provided below, those persons described in the preceding paragraph are permitted to trade in Company Securities only within such window, and only so long as they are not in possession of material, non-public information at such time and are not subject to any trading blackout. The trading window for securities of any listed entities in the Melco group (including the Company and Melco International) may be identical or different according to the relevant entity’s own circumstances. Although market prices of the securities of different entities in the Melco group may affect each other, the closing of the trading window and the prohibition of trading in the securities of one entity in the same group may not necessarily require the same closure and cessation of trading in the securities of another entity in the same group merely because they are both members of the Melco group. The CLO may at his or her discretion designate different trading windows and approve the trading of Company Securities of the involved Melco entity or entities individually and separately if the CLO is satisfied that there is no sharing of material, non-public information between the entities and the individuals involved.</w:t>
      </w:r>
    </w:p>
    <w:p>
      <w:pPr>
        <w:spacing w:after="0" w:line="112"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230"/>
          </w:cols>
          <w:pgMar w:left="1030" w:top="265" w:right="639" w:bottom="1440" w:gutter="0" w:footer="0" w:header="0"/>
        </w:sectPr>
      </w:pPr>
    </w:p>
    <w:bookmarkStart w:id="383" w:name="page384"/>
    <w:bookmarkEnd w:id="383"/>
    <w:p>
      <w:pPr>
        <w:ind w:left="540" w:hanging="414"/>
        <w:spacing w:after="0"/>
        <w:tabs>
          <w:tab w:leader="none" w:pos="54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Pre-clearance of Transactions</w:t>
      </w:r>
      <w:r>
        <w:rPr>
          <w:rFonts w:ascii="Times New Roman" w:cs="Times New Roman" w:eastAsia="Times New Roman" w:hAnsi="Times New Roman"/>
          <w:sz w:val="17"/>
          <w:szCs w:val="17"/>
          <w:color w:val="auto"/>
        </w:rPr>
        <w:t>. All Company officers, Designated Persons, their Family Members and their Controlled Entities must</w:t>
      </w:r>
    </w:p>
    <w:p>
      <w:pPr>
        <w:spacing w:after="0" w:line="31" w:lineRule="exact"/>
        <w:rPr>
          <w:rFonts w:ascii="Times New Roman" w:cs="Times New Roman" w:eastAsia="Times New Roman" w:hAnsi="Times New Roman"/>
          <w:sz w:val="17"/>
          <w:szCs w:val="17"/>
          <w:color w:val="auto"/>
        </w:rPr>
      </w:pPr>
    </w:p>
    <w:p>
      <w:pPr>
        <w:ind w:left="540" w:right="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pre-clear all proposed transactions in Company Securities (including any entry into or modifications of 10b5-1 Trading Plans) with the CLO, GCGC or a member of the Legal Department designated by the CLO (the “</w:t>
      </w:r>
      <w:r>
        <w:rPr>
          <w:rFonts w:ascii="Times New Roman" w:cs="Times New Roman" w:eastAsia="Times New Roman" w:hAnsi="Times New Roman"/>
          <w:sz w:val="17"/>
          <w:szCs w:val="17"/>
          <w:b w:val="1"/>
          <w:bCs w:val="1"/>
          <w:color w:val="auto"/>
        </w:rPr>
        <w:t>Company Counsel</w:t>
      </w:r>
      <w:r>
        <w:rPr>
          <w:rFonts w:ascii="Times New Roman" w:cs="Times New Roman" w:eastAsia="Times New Roman" w:hAnsi="Times New Roman"/>
          <w:sz w:val="17"/>
          <w:szCs w:val="17"/>
          <w:color w:val="auto"/>
        </w:rPr>
        <w:t>”), or (ii) in the case of any proposed trading to be carried out under a 10b5-1 Trading Plan, obtain the related pre-clearance under the procedures stated in Section VI.A.(d) and Part 1 of Schedule 2.</w:t>
      </w:r>
    </w:p>
    <w:p>
      <w:pPr>
        <w:spacing w:after="0" w:line="69" w:lineRule="exact"/>
        <w:rPr>
          <w:sz w:val="20"/>
          <w:szCs w:val="20"/>
          <w:color w:val="auto"/>
        </w:rPr>
      </w:pPr>
    </w:p>
    <w:p>
      <w:pPr>
        <w:ind w:left="560" w:right="520"/>
        <w:spacing w:after="0" w:line="295" w:lineRule="auto"/>
        <w:rPr>
          <w:sz w:val="20"/>
          <w:szCs w:val="20"/>
          <w:color w:val="auto"/>
        </w:rPr>
      </w:pPr>
      <w:r>
        <w:rPr>
          <w:rFonts w:ascii="Times New Roman" w:cs="Times New Roman" w:eastAsia="Times New Roman" w:hAnsi="Times New Roman"/>
          <w:sz w:val="17"/>
          <w:szCs w:val="17"/>
          <w:color w:val="auto"/>
        </w:rPr>
        <w:t>The CLO may seek such pre-clearance from the Chairperson of the NCGC or the Company’s CEO or Chief Financial Officer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560" w:right="460"/>
        <w:spacing w:after="0" w:line="295" w:lineRule="auto"/>
        <w:rPr>
          <w:sz w:val="20"/>
          <w:szCs w:val="20"/>
          <w:color w:val="auto"/>
        </w:rPr>
      </w:pPr>
      <w:r>
        <w:rPr>
          <w:rFonts w:ascii="Times New Roman" w:cs="Times New Roman" w:eastAsia="Times New Roman" w:hAnsi="Times New Roman"/>
          <w:sz w:val="17"/>
          <w:szCs w:val="17"/>
          <w:color w:val="auto"/>
        </w:rPr>
        <w:t>For the Company’s directors, their Family Members and their Controlled Entities who intend to trade Company Securities, the procedures in Section VI.A.(c) are to be followed.</w:t>
      </w:r>
    </w:p>
    <w:p>
      <w:pPr>
        <w:spacing w:after="0" w:line="42" w:lineRule="exact"/>
        <w:rPr>
          <w:sz w:val="20"/>
          <w:szCs w:val="20"/>
          <w:color w:val="auto"/>
        </w:rPr>
      </w:pPr>
    </w:p>
    <w:p>
      <w:pPr>
        <w:ind w:left="560"/>
        <w:spacing w:after="0" w:line="263" w:lineRule="auto"/>
        <w:rPr>
          <w:sz w:val="20"/>
          <w:szCs w:val="20"/>
          <w:color w:val="auto"/>
        </w:rPr>
      </w:pPr>
      <w:r>
        <w:rPr>
          <w:rFonts w:ascii="Times New Roman" w:cs="Times New Roman" w:eastAsia="Times New Roman" w:hAnsi="Times New Roman"/>
          <w:sz w:val="17"/>
          <w:szCs w:val="17"/>
          <w:color w:val="auto"/>
        </w:rPr>
        <w:t>The pre-clearance requirement applies to any change in beneficial ownership of Company equity securities, including purchases, sales, option exercises, transfers, gifts and changes in the form of ownership, and transactions in which you have any indirect interest. This includes Company equity securities over which you control decisions on how to vote and whether to sell and Company equity securities in which you have an economic interest. No transaction that in any way affects your ownership of Company securities is exempt from this requirement. You must make arrangements with your Family Members and fiduciaries, such as trustees of family trusts, to collect all of the information necessary to provide notification to the Company in advance of any transaction in compliance with this policy’s pre-clearance requirement.</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9820"/>
          </w:cols>
          <w:pgMar w:left="1440" w:top="264" w:right="639" w:bottom="1440" w:gutter="0" w:footer="0" w:header="0"/>
        </w:sectPr>
      </w:pPr>
    </w:p>
    <w:bookmarkStart w:id="384" w:name="page385"/>
    <w:bookmarkEnd w:id="384"/>
    <w:p>
      <w:pPr>
        <w:ind w:left="530" w:hanging="530"/>
        <w:spacing w:after="0"/>
        <w:tabs>
          <w:tab w:leader="none" w:pos="53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Special Blackout Periods (Applicable to All Relevant Persons)</w:t>
      </w:r>
    </w:p>
    <w:p>
      <w:pPr>
        <w:spacing w:after="0" w:line="133" w:lineRule="exact"/>
        <w:rPr>
          <w:rFonts w:ascii="Times New Roman" w:cs="Times New Roman" w:eastAsia="Times New Roman" w:hAnsi="Times New Roman"/>
          <w:sz w:val="17"/>
          <w:szCs w:val="17"/>
          <w:color w:val="auto"/>
        </w:rPr>
      </w:pPr>
    </w:p>
    <w:p>
      <w:pPr>
        <w:ind w:left="950" w:right="180" w:hanging="414"/>
        <w:spacing w:after="0" w:line="261" w:lineRule="auto"/>
        <w:tabs>
          <w:tab w:leader="none" w:pos="950"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times when the trading window is scheduled to be closed, the CLO may designate a special blackout period covering the relevant Company Securities due to the existence of material, non-public information that would make trading in the relevant Company Securities inappropriate in light of the risk that such trades could be viewed as violating applicable securities laws. For instance, the CLO may impose a special blackout period in connection with specific events, such as contemplation of a major acquisition or disposition, consideration of major strategic decisions, investigation of a significant cybersecurity incident or other potential material events. Such special blackout period may restrict trading in Company Securities. The CLO will advise the Relevant Persons when any special blackout period is applicable to them and may designate at his or her discretion certain of the Relevant Persons to be subject to the special blackout period. Because such blackout periods are often associated with material developments relating to the Company, the imposition of a blackout period must be kept confidential by all Relevant Persons so notified.</w:t>
      </w:r>
    </w:p>
    <w:p>
      <w:pPr>
        <w:spacing w:after="0" w:line="82" w:lineRule="exact"/>
        <w:rPr>
          <w:rFonts w:ascii="Times New Roman" w:cs="Times New Roman" w:eastAsia="Times New Roman" w:hAnsi="Times New Roman"/>
          <w:sz w:val="17"/>
          <w:szCs w:val="17"/>
          <w:color w:val="auto"/>
        </w:rPr>
      </w:pPr>
    </w:p>
    <w:p>
      <w:pPr>
        <w:ind w:left="950" w:right="60" w:hanging="414"/>
        <w:spacing w:after="0" w:line="276" w:lineRule="auto"/>
        <w:tabs>
          <w:tab w:leader="none" w:pos="950"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Relevant Person may disclose to any outsider that a special trading blackout period has been designated. No such Relevant Person may trade in Company Securities during any special blackout periods designated by the CLO that are applicable to such Relevant Person.</w:t>
      </w:r>
    </w:p>
    <w:p>
      <w:pPr>
        <w:spacing w:after="0" w:line="68"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Exceptions to Trading Window Closure and Special Blackout Periods</w:t>
      </w:r>
    </w:p>
    <w:p>
      <w:pPr>
        <w:spacing w:after="0" w:line="120" w:lineRule="exact"/>
        <w:rPr>
          <w:rFonts w:ascii="Times New Roman" w:cs="Times New Roman" w:eastAsia="Times New Roman" w:hAnsi="Times New Roman"/>
          <w:sz w:val="17"/>
          <w:szCs w:val="17"/>
          <w:color w:val="auto"/>
        </w:rPr>
      </w:pPr>
    </w:p>
    <w:p>
      <w:pPr>
        <w:ind w:left="55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Exceptions to the restrictions imposed during any trading window closure or special blackout period set forth in Sections III.C and III.D are described below. For clarity, any trade made pursuant to these exceptions is still subject to (i) the pre-clearance procedure set out in Section III.C.(c) and (ii) other than with respect to sub-clause III.E.(a) and III.E.(b)(ii) below, the rule that trading in Companies Securities is not permitted while in possession of material, non-public information as set out in Section III.A):</w:t>
      </w:r>
    </w:p>
    <w:p>
      <w:pPr>
        <w:spacing w:after="0" w:line="77" w:lineRule="exact"/>
        <w:rPr>
          <w:rFonts w:ascii="Times New Roman" w:cs="Times New Roman" w:eastAsia="Times New Roman" w:hAnsi="Times New Roman"/>
          <w:sz w:val="17"/>
          <w:szCs w:val="17"/>
          <w:color w:val="auto"/>
        </w:rPr>
      </w:pPr>
    </w:p>
    <w:p>
      <w:pPr>
        <w:ind w:left="950" w:right="20" w:hanging="414"/>
        <w:spacing w:after="0" w:line="263" w:lineRule="auto"/>
        <w:tabs>
          <w:tab w:leader="none" w:pos="950"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Company Securities from the Company by such Relevant Persons, or sales of Company Securities to the Company by such Relevant Persons, provided, that the Relevant Person in such transaction acknowledges and confirms to the CLO in writing prior to the transaction that such Relevant Person either (i) does not possess any material, non-public information about the Company; (ii) has received all of the information that such Relevant Person considers necessary or appropriate for deciding whether to enter into such transaction and has the capacity to protect such Relevant Person’s own interest in connection therewith and to evaluate the potential risks and benefits; or (iii) is not in possession of any material, non-public information about the Company that the Company would not have;</w:t>
      </w:r>
    </w:p>
    <w:p>
      <w:pPr>
        <w:spacing w:after="0" w:line="108"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190"/>
          </w:cols>
          <w:pgMar w:left="1030" w:top="263" w:right="679" w:bottom="1440" w:gutter="0" w:footer="0" w:header="0"/>
        </w:sectPr>
      </w:pPr>
    </w:p>
    <w:bookmarkStart w:id="385" w:name="page386"/>
    <w:bookmarkEnd w:id="385"/>
    <w:p>
      <w:pPr>
        <w:ind w:left="540" w:hanging="414"/>
        <w:spacing w:after="0" w:line="264" w:lineRule="auto"/>
        <w:tabs>
          <w:tab w:leader="none" w:pos="54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purchase or sale of Company Securities by any director or officer of the Company or any Controlled Entity thereof from or to any other director or officer of the Company or any Controlled Entity thereof (any such director or officer of the Company or Controlled Entity thereof is herein referred to as a “</w:t>
      </w:r>
      <w:r>
        <w:rPr>
          <w:rFonts w:ascii="Times New Roman" w:cs="Times New Roman" w:eastAsia="Times New Roman" w:hAnsi="Times New Roman"/>
          <w:sz w:val="17"/>
          <w:szCs w:val="17"/>
          <w:b w:val="1"/>
          <w:bCs w:val="1"/>
          <w:color w:val="auto"/>
        </w:rPr>
        <w:t>Mutual Insider</w:t>
      </w:r>
      <w:r>
        <w:rPr>
          <w:rFonts w:ascii="Times New Roman" w:cs="Times New Roman" w:eastAsia="Times New Roman" w:hAnsi="Times New Roman"/>
          <w:sz w:val="17"/>
          <w:szCs w:val="17"/>
          <w:color w:val="auto"/>
        </w:rPr>
        <w:t>”), provided, that each of the selling and purchasing Mutual Insiders in such transaction acknowledges and confirms to the CLO in writing prior to the transaction that such Mutual Insider either (i) does not possess any material, non-public information about the Company; or (ii) is not in possession of any material, non-public information about the Company that any other Mutual Insider engaging in the sale or purchase would not have;</w:t>
      </w:r>
    </w:p>
    <w:p>
      <w:pPr>
        <w:spacing w:after="0" w:line="82" w:lineRule="exact"/>
        <w:rPr>
          <w:rFonts w:ascii="Times New Roman" w:cs="Times New Roman" w:eastAsia="Times New Roman" w:hAnsi="Times New Roman"/>
          <w:sz w:val="17"/>
          <w:szCs w:val="17"/>
          <w:color w:val="auto"/>
        </w:rPr>
      </w:pPr>
    </w:p>
    <w:p>
      <w:pPr>
        <w:ind w:left="540" w:right="20" w:hanging="414"/>
        <w:spacing w:after="0" w:line="276" w:lineRule="auto"/>
        <w:tabs>
          <w:tab w:leader="none" w:pos="54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transaction involving Company Securities owned by a Relevant Person which constitutes a related party transaction or otherwise requires approval from independent directors, where such approval has been obtained from the Board comprising independent directors, after considering the risk of insider trading, among other considerations;</w:t>
      </w:r>
    </w:p>
    <w:p>
      <w:pPr>
        <w:spacing w:after="0" w:line="70" w:lineRule="exact"/>
        <w:rPr>
          <w:rFonts w:ascii="Times New Roman" w:cs="Times New Roman" w:eastAsia="Times New Roman" w:hAnsi="Times New Roman"/>
          <w:sz w:val="17"/>
          <w:szCs w:val="17"/>
          <w:color w:val="auto"/>
        </w:rPr>
      </w:pPr>
    </w:p>
    <w:p>
      <w:pPr>
        <w:ind w:left="540" w:hanging="414"/>
        <w:spacing w:after="0" w:line="269" w:lineRule="auto"/>
        <w:tabs>
          <w:tab w:leader="none" w:pos="54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strategic transaction involving a sale of Company Securities that includes Company Securities owned by a Relevant Person, where such approval has been obtained from a majority of the members of the NCGC (after considering the risk of insider trading, among other considerations) who are reasonably satisfied that the strategic transaction in question is for the benefit of the Company’s shareholders as a whole;</w:t>
      </w:r>
    </w:p>
    <w:p>
      <w:pPr>
        <w:spacing w:after="0" w:line="77" w:lineRule="exact"/>
        <w:rPr>
          <w:rFonts w:ascii="Times New Roman" w:cs="Times New Roman" w:eastAsia="Times New Roman" w:hAnsi="Times New Roman"/>
          <w:sz w:val="17"/>
          <w:szCs w:val="17"/>
          <w:color w:val="auto"/>
        </w:rPr>
      </w:pPr>
    </w:p>
    <w:p>
      <w:pPr>
        <w:ind w:left="540" w:right="40" w:hanging="414"/>
        <w:spacing w:after="0" w:line="260" w:lineRule="auto"/>
        <w:tabs>
          <w:tab w:leader="none" w:pos="54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“top-up” placement, which is conducted for the sole purpose of fund raising for the Company and in compliance with all applicable securities laws, the subscription by a shareholder or its Controlled Entities to the extent subject to this Policy (in each case, the “</w:t>
      </w:r>
      <w:r>
        <w:rPr>
          <w:rFonts w:ascii="Times New Roman" w:cs="Times New Roman" w:eastAsia="Times New Roman" w:hAnsi="Times New Roman"/>
          <w:sz w:val="17"/>
          <w:szCs w:val="17"/>
          <w:b w:val="1"/>
          <w:bCs w:val="1"/>
          <w:color w:val="auto"/>
        </w:rPr>
        <w:t>Purchasing Shareholder</w:t>
      </w:r>
      <w:r>
        <w:rPr>
          <w:rFonts w:ascii="Times New Roman" w:cs="Times New Roman" w:eastAsia="Times New Roman" w:hAnsi="Times New Roman"/>
          <w:sz w:val="17"/>
          <w:szCs w:val="17"/>
          <w:color w:val="auto"/>
        </w:rPr>
        <w:t>”), of new Company Securities from the Company, provided that (i) such number of new shares of Company Securities subscribed by the Purchasing Shareholder is equal to the number of the shares of Company Securities offered to such Purchasing Shareholder, (ii) such subscription is made at the same price at which Company Securities were offered; and (iii) such Purchasing Shareholder does not otherwise receive any economic benefit from such transaction (for the avoidance of any doubt, the placement and/or sale of Company Securities to investors and/or third parties in such “top-up” placement is not covered by this exception). If a “top-up” placement does not satisfy the above criteria, the subscription by a shareholder or its Controlled Entities that is subject to this Policy is required to comply with the approval procedures for related party transactions stipulated in the “General Policy on Related Party Transactions” and “Guidelines and Standards for the Approval of Related Party Transactions” (collectively, the “</w:t>
      </w:r>
      <w:r>
        <w:rPr>
          <w:rFonts w:ascii="Times New Roman" w:cs="Times New Roman" w:eastAsia="Times New Roman" w:hAnsi="Times New Roman"/>
          <w:sz w:val="17"/>
          <w:szCs w:val="17"/>
          <w:b w:val="1"/>
          <w:bCs w:val="1"/>
          <w:color w:val="auto"/>
        </w:rPr>
        <w:t>RPT Policy</w:t>
      </w:r>
      <w:r>
        <w:rPr>
          <w:rFonts w:ascii="Times New Roman" w:cs="Times New Roman" w:eastAsia="Times New Roman" w:hAnsi="Times New Roman"/>
          <w:sz w:val="17"/>
          <w:szCs w:val="17"/>
          <w:color w:val="auto"/>
        </w:rPr>
        <w:t>”). A “top-up” placement that satisfied all the above criteria is not subject to approval stipulated in the RPT Policy;</w:t>
      </w:r>
    </w:p>
    <w:p>
      <w:pPr>
        <w:spacing w:after="0" w:line="3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9780"/>
          </w:cols>
          <w:pgMar w:left="1440" w:top="265" w:right="679" w:bottom="1440" w:gutter="0" w:footer="0" w:header="0"/>
        </w:sectPr>
      </w:pPr>
    </w:p>
    <w:bookmarkStart w:id="386" w:name="page387"/>
    <w:bookmarkEnd w:id="386"/>
    <w:p>
      <w:pPr>
        <w:ind w:left="1360" w:right="20" w:hanging="414"/>
        <w:spacing w:after="0" w:line="264" w:lineRule="auto"/>
        <w:tabs>
          <w:tab w:leader="none" w:pos="136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purchases or sales of Company Securities made pursuant to any binding contract, specific instruction or written plan entered into during a trading window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 and being in compliance with the requirements of Rule 10b5-1 (including the Cooling-Off Period as described in Part 1 of Schedule 2); or</w:t>
      </w:r>
    </w:p>
    <w:p>
      <w:pPr>
        <w:spacing w:after="0" w:line="82" w:lineRule="exact"/>
        <w:rPr>
          <w:rFonts w:ascii="Times New Roman" w:cs="Times New Roman" w:eastAsia="Times New Roman" w:hAnsi="Times New Roman"/>
          <w:sz w:val="17"/>
          <w:szCs w:val="17"/>
          <w:color w:val="auto"/>
        </w:rPr>
      </w:pPr>
    </w:p>
    <w:p>
      <w:pPr>
        <w:ind w:left="1360" w:right="20" w:hanging="414"/>
        <w:spacing w:after="0" w:line="273" w:lineRule="auto"/>
        <w:tabs>
          <w:tab w:leader="none" w:pos="136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bona fide gifts where (i) the gift is made by a Relevant Person to a Family Member or to a Controlled Entity of such Relevant Person, (ii) the Relevant Person ensures that the recipient does not sell such Company Securities during any period when the Relevant Person is not permitted to sell Company Securities under this Policy, and (c) the gift was pre-cleared in advance pursuant to this Policy.</w:t>
      </w: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IV.</w:t>
        <w:tab/>
        <w:t>Rule 10b5-1 Trading Plans</w:t>
      </w:r>
    </w:p>
    <w:p>
      <w:pPr>
        <w:spacing w:after="0" w:line="120" w:lineRule="exact"/>
        <w:rPr>
          <w:sz w:val="20"/>
          <w:szCs w:val="20"/>
          <w:color w:val="auto"/>
        </w:rPr>
      </w:pPr>
    </w:p>
    <w:p>
      <w:pPr>
        <w:ind w:left="420"/>
        <w:spacing w:after="0" w:line="269" w:lineRule="auto"/>
        <w:rPr>
          <w:sz w:val="20"/>
          <w:szCs w:val="20"/>
          <w:color w:val="auto"/>
        </w:rPr>
      </w:pPr>
      <w:r>
        <w:rPr>
          <w:rFonts w:ascii="Times New Roman" w:cs="Times New Roman" w:eastAsia="Times New Roman" w:hAnsi="Times New Roman"/>
          <w:sz w:val="17"/>
          <w:szCs w:val="17"/>
          <w:color w:val="auto"/>
        </w:rPr>
        <w:t>Rule 10b5-1 can protect directors, officers and employees from insider trading liability under Rule 10b5-1 for transactions made under a previously established contract, plan or instruction to trade in Company Securities (a “</w:t>
      </w:r>
      <w:r>
        <w:rPr>
          <w:rFonts w:ascii="Times New Roman" w:cs="Times New Roman" w:eastAsia="Times New Roman" w:hAnsi="Times New Roman"/>
          <w:sz w:val="17"/>
          <w:szCs w:val="17"/>
          <w:b w:val="1"/>
          <w:bCs w:val="1"/>
          <w:color w:val="auto"/>
        </w:rPr>
        <w:t>10b5-1 Trading Plan</w:t>
      </w:r>
      <w:r>
        <w:rPr>
          <w:rFonts w:ascii="Times New Roman" w:cs="Times New Roman" w:eastAsia="Times New Roman" w:hAnsi="Times New Roman"/>
          <w:sz w:val="17"/>
          <w:szCs w:val="17"/>
          <w:color w:val="auto"/>
        </w:rPr>
        <w:t>”) entered into and maintained in good faith and in accordance with the terms of Rule 10b5-1 and all applicable state laws. Rule 10b5-1 only provides an “affirmative defense” in the event there is an insider trading lawsuit. It does not prevent someone from bringing a lawsuit.</w:t>
      </w:r>
    </w:p>
    <w:p>
      <w:pPr>
        <w:spacing w:after="0" w:line="65" w:lineRule="exact"/>
        <w:rPr>
          <w:sz w:val="20"/>
          <w:szCs w:val="20"/>
          <w:color w:val="auto"/>
        </w:rPr>
      </w:pPr>
    </w:p>
    <w:p>
      <w:pPr>
        <w:ind w:left="420" w:right="380"/>
        <w:spacing w:after="0" w:line="295" w:lineRule="auto"/>
        <w:rPr>
          <w:sz w:val="20"/>
          <w:szCs w:val="20"/>
          <w:color w:val="auto"/>
        </w:rPr>
      </w:pPr>
      <w:r>
        <w:rPr>
          <w:rFonts w:ascii="Times New Roman" w:cs="Times New Roman" w:eastAsia="Times New Roman" w:hAnsi="Times New Roman"/>
          <w:sz w:val="17"/>
          <w:szCs w:val="17"/>
          <w:color w:val="auto"/>
        </w:rPr>
        <w:t>Each 10b5-1 Trading Plan that has been adopted in accordance with the requirements of this Policy is exempt from the trading restrictions set forth in this Policy.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60"/>
          </w:cols>
          <w:pgMar w:left="620" w:top="264" w:right="619" w:bottom="1440" w:gutter="0" w:footer="0" w:header="0"/>
        </w:sectPr>
      </w:pPr>
    </w:p>
    <w:bookmarkStart w:id="387" w:name="page388"/>
    <w:bookmarkEnd w:id="387"/>
    <w:p>
      <w:pPr>
        <w:ind w:left="428" w:right="1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Rule 10b5-1 presents an opportunity for insiders to establish arrangements to sell (or purchase) Company Securities without the restrictions of trading windows and blackout periods, even if the insider subsequently acquires material, non-public information after the 10b5-1 Trading Plan has been entered into. A 10b5-1 Trading Plan may also help reduce negative publicity that may result when key executives sell Company Securities.</w:t>
      </w:r>
    </w:p>
    <w:p>
      <w:pPr>
        <w:spacing w:after="0" w:line="6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Please refer to Part 1 of Schedule 2 for requirements to be met in adopting 10b5-1 Trading Plans and other related matters.</w:t>
      </w:r>
    </w:p>
    <w:p>
      <w:pPr>
        <w:spacing w:after="0" w:line="364" w:lineRule="exact"/>
        <w:rPr>
          <w:sz w:val="20"/>
          <w:szCs w:val="20"/>
          <w:color w:val="auto"/>
        </w:rPr>
      </w:pPr>
    </w:p>
    <w:p>
      <w:pPr>
        <w:ind w:left="428" w:hanging="428"/>
        <w:spacing w:after="0"/>
        <w:tabs>
          <w:tab w:leader="none" w:pos="428" w:val="left"/>
        </w:tabs>
        <w:numPr>
          <w:ilvl w:val="0"/>
          <w:numId w:val="2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Explanation of Insider Trading</w:t>
      </w:r>
    </w:p>
    <w:p>
      <w:pPr>
        <w:spacing w:after="0" w:line="118" w:lineRule="exact"/>
        <w:rPr>
          <w:rFonts w:ascii="Times New Roman" w:cs="Times New Roman" w:eastAsia="Times New Roman" w:hAnsi="Times New Roman"/>
          <w:sz w:val="17"/>
          <w:szCs w:val="17"/>
          <w:b w:val="1"/>
          <w:bCs w:val="1"/>
          <w:color w:val="auto"/>
        </w:rPr>
      </w:pPr>
    </w:p>
    <w:p>
      <w:pPr>
        <w:ind w:left="428"/>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noted above, “</w:t>
      </w:r>
      <w:r>
        <w:rPr>
          <w:rFonts w:ascii="Times New Roman" w:cs="Times New Roman" w:eastAsia="Times New Roman" w:hAnsi="Times New Roman"/>
          <w:sz w:val="17"/>
          <w:szCs w:val="17"/>
          <w:b w:val="1"/>
          <w:bCs w:val="1"/>
          <w:color w:val="auto"/>
        </w:rPr>
        <w:t>insider trading</w:t>
      </w:r>
      <w:r>
        <w:rPr>
          <w:rFonts w:ascii="Times New Roman" w:cs="Times New Roman" w:eastAsia="Times New Roman" w:hAnsi="Times New Roman"/>
          <w:sz w:val="17"/>
          <w:szCs w:val="17"/>
          <w:color w:val="auto"/>
        </w:rPr>
        <w:t>” refers to the purchase or sale of a security while in possession of “material”, “non-public” and/or “inside” information relating to the security in breach of a duty of trust or confidence.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include not only ADSs, shares, bonds, notes and debentures, but also options, swaps relating to securities, restricted shares, warrants and similar instruments. “Purchase” and “sale” are defined broadly under the U.S. federal securities law. “</w:t>
      </w:r>
      <w:r>
        <w:rPr>
          <w:rFonts w:ascii="Times New Roman" w:cs="Times New Roman" w:eastAsia="Times New Roman" w:hAnsi="Times New Roman"/>
          <w:sz w:val="17"/>
          <w:szCs w:val="17"/>
          <w:b w:val="1"/>
          <w:bCs w:val="1"/>
          <w:color w:val="auto"/>
        </w:rPr>
        <w:t>Purchase</w:t>
      </w:r>
      <w:r>
        <w:rPr>
          <w:rFonts w:ascii="Times New Roman" w:cs="Times New Roman" w:eastAsia="Times New Roman" w:hAnsi="Times New Roman"/>
          <w:sz w:val="17"/>
          <w:szCs w:val="17"/>
          <w:color w:val="auto"/>
        </w:rPr>
        <w:t>” includes not only the actual purchase of a security, but any contract to purchase or otherwise acquire a security and any receipt of a gift of a security. “</w:t>
      </w:r>
      <w:r>
        <w:rPr>
          <w:rFonts w:ascii="Times New Roman" w:cs="Times New Roman" w:eastAsia="Times New Roman" w:hAnsi="Times New Roman"/>
          <w:sz w:val="17"/>
          <w:szCs w:val="17"/>
          <w:b w:val="1"/>
          <w:bCs w:val="1"/>
          <w:color w:val="auto"/>
        </w:rPr>
        <w:t>Sale</w:t>
      </w:r>
      <w:r>
        <w:rPr>
          <w:rFonts w:ascii="Times New Roman" w:cs="Times New Roman" w:eastAsia="Times New Roman" w:hAnsi="Times New Roman"/>
          <w:sz w:val="17"/>
          <w:szCs w:val="17"/>
          <w:color w:val="auto"/>
        </w:rPr>
        <w:t>” includes not only the actual sale of a security, but any contract to sell or otherwise dispose of a security, and any gift of a security. These definitions extend to a broad range of transactions including conventional cash-for-stock transactions, conversions, the grant and exercise of share options and acquisitions and exercises of warrants or puts, calls or other options related to a security.</w:t>
      </w:r>
    </w:p>
    <w:p>
      <w:pPr>
        <w:spacing w:after="0" w:line="83" w:lineRule="exact"/>
        <w:rPr>
          <w:sz w:val="20"/>
          <w:szCs w:val="20"/>
          <w:color w:val="auto"/>
        </w:rPr>
      </w:pPr>
    </w:p>
    <w:p>
      <w:pPr>
        <w:ind w:left="948" w:hanging="530"/>
        <w:spacing w:after="0"/>
        <w:tabs>
          <w:tab w:leader="none" w:pos="948"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What facts are material?</w:t>
      </w:r>
    </w:p>
    <w:p>
      <w:pPr>
        <w:spacing w:after="0" w:line="118" w:lineRule="exact"/>
        <w:rPr>
          <w:sz w:val="20"/>
          <w:szCs w:val="20"/>
          <w:color w:val="auto"/>
        </w:rPr>
      </w:pPr>
    </w:p>
    <w:p>
      <w:pPr>
        <w:ind w:left="428"/>
        <w:spacing w:after="0" w:line="270" w:lineRule="auto"/>
        <w:rPr>
          <w:sz w:val="20"/>
          <w:szCs w:val="20"/>
          <w:color w:val="auto"/>
        </w:rPr>
      </w:pPr>
      <w:r>
        <w:rPr>
          <w:rFonts w:ascii="Times New Roman" w:cs="Times New Roman" w:eastAsia="Times New Roman" w:hAnsi="Times New Roman"/>
          <w:sz w:val="17"/>
          <w:szCs w:val="17"/>
          <w:color w:val="auto"/>
        </w:rPr>
        <w:t>The materiality of a fact depends upon the circumstances. A fact is considered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the Company’s business or to any type of security, debt or equity.</w:t>
      </w:r>
    </w:p>
    <w:p>
      <w:pPr>
        <w:spacing w:after="0" w:line="6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Examples of material information may include (but are not limited to) facts concerning:</w:t>
      </w:r>
    </w:p>
    <w:p>
      <w:pPr>
        <w:spacing w:after="0" w:line="133" w:lineRule="exact"/>
        <w:rPr>
          <w:sz w:val="20"/>
          <w:szCs w:val="20"/>
          <w:color w:val="auto"/>
        </w:rPr>
      </w:pPr>
    </w:p>
    <w:p>
      <w:pPr>
        <w:ind w:left="948" w:hanging="425"/>
        <w:spacing w:after="0"/>
        <w:tabs>
          <w:tab w:leader="none" w:pos="94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w:t>
      </w:r>
    </w:p>
    <w:p>
      <w:pPr>
        <w:spacing w:after="0" w:line="131" w:lineRule="exact"/>
        <w:rPr>
          <w:rFonts w:ascii="Times New Roman" w:cs="Times New Roman" w:eastAsia="Times New Roman" w:hAnsi="Times New Roman"/>
          <w:sz w:val="17"/>
          <w:szCs w:val="17"/>
          <w:color w:val="auto"/>
        </w:rPr>
      </w:pPr>
    </w:p>
    <w:p>
      <w:pPr>
        <w:ind w:left="948" w:hanging="425"/>
        <w:spacing w:after="0"/>
        <w:tabs>
          <w:tab w:leader="none" w:pos="94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earnings or earnings forecasts;</w:t>
      </w:r>
    </w:p>
    <w:p>
      <w:pPr>
        <w:spacing w:after="0" w:line="131" w:lineRule="exact"/>
        <w:rPr>
          <w:rFonts w:ascii="Times New Roman" w:cs="Times New Roman" w:eastAsia="Times New Roman" w:hAnsi="Times New Roman"/>
          <w:sz w:val="17"/>
          <w:szCs w:val="17"/>
          <w:color w:val="auto"/>
        </w:rPr>
      </w:pPr>
    </w:p>
    <w:p>
      <w:pPr>
        <w:ind w:left="5248" w:right="3900" w:hanging="4725"/>
        <w:spacing w:after="0" w:line="472" w:lineRule="auto"/>
        <w:tabs>
          <w:tab w:leader="none" w:pos="941"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condition (e.g., cash flow crisis, credit crunch) or asset value; 11</w:t>
      </w:r>
    </w:p>
    <w:p>
      <w:pPr>
        <w:sectPr>
          <w:pgSz w:w="11900" w:h="16838" w:orient="portrait"/>
          <w:cols w:equalWidth="0" w:num="1">
            <w:col w:w="10548"/>
          </w:cols>
          <w:pgMar w:left="612" w:top="264" w:right="739" w:bottom="1440" w:gutter="0" w:footer="0" w:header="0"/>
        </w:sectPr>
      </w:pPr>
    </w:p>
    <w:bookmarkStart w:id="388" w:name="page389"/>
    <w:bookmarkEnd w:id="388"/>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negotiations for mergers or acquisitions or disposals of significant subsidiaries or assets;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contracts or the loss of a significant contract;</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products or services;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marketing plans or changes in such plans;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investment plans or changes in such plans;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litigation, administrative action or governmental investigations or inquiries about the Company or any of its officers or directors;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equity or debt offerings, including offering of convertible instruments, options or warrants to acquire or subscribe for securities;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borrowings or financings;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defaults on borrowings or bankruptcies;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personnel changes;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methods and write-offs;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plans or initiatives;</w:t>
      </w:r>
    </w:p>
    <w:p>
      <w:pPr>
        <w:spacing w:after="0" w:line="131" w:lineRule="exact"/>
        <w:rPr>
          <w:rFonts w:ascii="Times New Roman" w:cs="Times New Roman" w:eastAsia="Times New Roman" w:hAnsi="Times New Roman"/>
          <w:sz w:val="17"/>
          <w:szCs w:val="17"/>
          <w:color w:val="auto"/>
        </w:rPr>
      </w:pPr>
    </w:p>
    <w:p>
      <w:pPr>
        <w:ind w:left="425" w:right="360" w:hanging="425"/>
        <w:spacing w:after="0" w:line="295" w:lineRule="auto"/>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substantial change in industry circumstances or competitive conditions that could significantly affect the Company’s earnings or prospects;</w:t>
      </w:r>
    </w:p>
    <w:p>
      <w:pPr>
        <w:spacing w:after="0" w:line="55"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performance, or the expectation of the performance, of the business;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control and control agreements;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auditors or any other information related to the auditors’ activity;</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share capital, e.g., new share placing, bonus issue, rights issue, share split, share consolidation and capital reduction;</w:t>
      </w:r>
    </w:p>
    <w:p>
      <w:pPr>
        <w:spacing w:after="0" w:line="157"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005"/>
          </w:cols>
          <w:pgMar w:left="1135" w:top="264" w:right="759" w:bottom="1440" w:gutter="0" w:footer="0" w:header="0"/>
        </w:sectPr>
      </w:pPr>
    </w:p>
    <w:bookmarkStart w:id="389" w:name="page390"/>
    <w:bookmarkEnd w:id="389"/>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takeovers and mergers;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or disposal of equity interests or other major assets or business operations;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formation of a joint venture;</w:t>
      </w:r>
    </w:p>
    <w:p>
      <w:pPr>
        <w:spacing w:after="0" w:line="131" w:lineRule="exact"/>
        <w:rPr>
          <w:rFonts w:ascii="Times New Roman" w:cs="Times New Roman" w:eastAsia="Times New Roman" w:hAnsi="Times New Roman"/>
          <w:sz w:val="17"/>
          <w:szCs w:val="17"/>
          <w:color w:val="auto"/>
        </w:rPr>
      </w:pPr>
    </w:p>
    <w:p>
      <w:pPr>
        <w:ind w:left="425" w:hanging="425"/>
        <w:spacing w:after="0" w:line="295" w:lineRule="auto"/>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restructurings, reorganizations and spin-offs that have an effect on the corporation’s assets, liabilities, financial position or profits and losses;</w:t>
      </w:r>
    </w:p>
    <w:p>
      <w:pPr>
        <w:spacing w:after="0" w:line="55"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concerning buy-back programs or transactions in other listed financial instruments;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memorandum and articles (or equivalent constitutional documents);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revocation or cancellation of credit lines by one or more banks;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of real properties’ values;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physical destruction of uninsured goods;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licenses, patents, registered trademarks;</w:t>
      </w:r>
    </w:p>
    <w:p>
      <w:pPr>
        <w:spacing w:after="0" w:line="131" w:lineRule="exact"/>
        <w:rPr>
          <w:rFonts w:ascii="Times New Roman" w:cs="Times New Roman" w:eastAsia="Times New Roman" w:hAnsi="Times New Roman"/>
          <w:sz w:val="17"/>
          <w:szCs w:val="17"/>
          <w:color w:val="auto"/>
        </w:rPr>
      </w:pPr>
    </w:p>
    <w:p>
      <w:pPr>
        <w:ind w:left="425" w:right="280" w:hanging="425"/>
        <w:spacing w:after="0" w:line="295" w:lineRule="auto"/>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or increase in value of financial instruments in portfolio, which include financial assets or liabilities arising from futures contracts, derivatives, warrants, swaps protective hedges, credit default swaps;</w:t>
      </w:r>
    </w:p>
    <w:p>
      <w:pPr>
        <w:spacing w:after="0" w:line="55"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innovative products or processes;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from or entry into new core business areas;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investment policy;</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accounting policy;</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ex-dividend date, changes in dividend payment date and amount of dividend, changes in dividend policy;</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 of the corporation’s shares by controlling shareholders;</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new cybersecurity risk or cybersecurity incident; or</w:t>
      </w:r>
    </w:p>
    <w:p>
      <w:pPr>
        <w:spacing w:after="0" w:line="131" w:lineRule="exact"/>
        <w:rPr>
          <w:rFonts w:ascii="Times New Roman" w:cs="Times New Roman" w:eastAsia="Times New Roman" w:hAnsi="Times New Roman"/>
          <w:sz w:val="17"/>
          <w:szCs w:val="17"/>
          <w:color w:val="auto"/>
        </w:rPr>
      </w:pPr>
    </w:p>
    <w:p>
      <w:pPr>
        <w:ind w:left="425" w:hanging="425"/>
        <w:spacing w:after="0"/>
        <w:tabs>
          <w:tab w:leader="none" w:pos="4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matter which was the subject of a previous announcement.</w:t>
      </w:r>
    </w:p>
    <w:p>
      <w:pPr>
        <w:spacing w:after="0" w:line="157"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9705"/>
          </w:cols>
          <w:pgMar w:left="1135" w:top="265" w:right="1059" w:bottom="1440" w:gutter="0" w:footer="0" w:header="0"/>
        </w:sectPr>
      </w:pPr>
    </w:p>
    <w:bookmarkStart w:id="390" w:name="page391"/>
    <w:bookmarkEnd w:id="390"/>
    <w:p>
      <w:pPr>
        <w:ind w:left="10" w:right="28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Moreover, material information does not have to be related to the Company’s business. For example, the contents of a forthcoming newspaper column that is expected to affect the market price of Company Securities can be material.</w:t>
      </w:r>
    </w:p>
    <w:p>
      <w:pPr>
        <w:spacing w:after="0" w:line="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b w:val="1"/>
          <w:bCs w:val="1"/>
          <w:color w:val="auto"/>
        </w:rPr>
        <w:t>A good general rule of thumb: when in doubt, do not trade.</w:t>
      </w:r>
    </w:p>
    <w:p>
      <w:pPr>
        <w:spacing w:after="0" w:line="131" w:lineRule="exact"/>
        <w:rPr>
          <w:sz w:val="20"/>
          <w:szCs w:val="20"/>
          <w:color w:val="auto"/>
        </w:rPr>
      </w:pPr>
    </w:p>
    <w:p>
      <w:pPr>
        <w:ind w:left="530" w:hanging="530"/>
        <w:spacing w:after="0"/>
        <w:tabs>
          <w:tab w:leader="none" w:pos="53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What is non-public?</w:t>
      </w:r>
    </w:p>
    <w:p>
      <w:pPr>
        <w:spacing w:after="0" w:line="118" w:lineRule="exact"/>
        <w:rPr>
          <w:sz w:val="20"/>
          <w:szCs w:val="20"/>
          <w:color w:val="auto"/>
        </w:rPr>
      </w:pPr>
    </w:p>
    <w:p>
      <w:pPr>
        <w:ind w:left="10"/>
        <w:spacing w:after="0" w:line="270" w:lineRule="auto"/>
        <w:rPr>
          <w:sz w:val="20"/>
          <w:szCs w:val="20"/>
          <w:color w:val="auto"/>
        </w:rPr>
      </w:pPr>
      <w:r>
        <w:rPr>
          <w:rFonts w:ascii="Times New Roman" w:cs="Times New Roman" w:eastAsia="Times New Roman" w:hAnsi="Times New Roman"/>
          <w:sz w:val="17"/>
          <w:szCs w:val="17"/>
          <w:color w:val="auto"/>
        </w:rPr>
        <w:t>Information is “</w:t>
      </w:r>
      <w:r>
        <w:rPr>
          <w:rFonts w:ascii="Times New Roman" w:cs="Times New Roman" w:eastAsia="Times New Roman" w:hAnsi="Times New Roman"/>
          <w:sz w:val="17"/>
          <w:szCs w:val="17"/>
          <w:b w:val="1"/>
          <w:bCs w:val="1"/>
          <w:color w:val="auto"/>
        </w:rPr>
        <w:t>non-public</w:t>
      </w:r>
      <w:r>
        <w:rPr>
          <w:rFonts w:ascii="Times New Roman" w:cs="Times New Roman" w:eastAsia="Times New Roman" w:hAnsi="Times New Roman"/>
          <w:sz w:val="17"/>
          <w:szCs w:val="17"/>
          <w:color w:val="auto"/>
        </w:rPr>
        <w:t xml:space="preserve">” if it is not available to the general public. In order for information to be considered public, it must have been widely disseminated in a manner making it generally available to investors, through such media as </w:t>
      </w:r>
      <w:r>
        <w:rPr>
          <w:rFonts w:ascii="Times New Roman" w:cs="Times New Roman" w:eastAsia="Times New Roman" w:hAnsi="Times New Roman"/>
          <w:sz w:val="17"/>
          <w:szCs w:val="17"/>
          <w:i w:val="1"/>
          <w:iCs w:val="1"/>
          <w:color w:val="auto"/>
        </w:rPr>
        <w:t>Dow Jones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Reuters Economic Services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Wall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Street Journal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Bloomberg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Associated Press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United Press International</w:t>
      </w:r>
      <w:r>
        <w:rPr>
          <w:rFonts w:ascii="Times New Roman" w:cs="Times New Roman" w:eastAsia="Times New Roman" w:hAnsi="Times New Roman"/>
          <w:sz w:val="17"/>
          <w:szCs w:val="17"/>
          <w:color w:val="auto"/>
        </w:rPr>
        <w:t>. The circulation of a fact through rumors, even if accurate and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media, does not mean that such fact has become “public”.</w:t>
      </w:r>
    </w:p>
    <w:p>
      <w:pPr>
        <w:spacing w:after="0" w:line="63" w:lineRule="exact"/>
        <w:rPr>
          <w:sz w:val="20"/>
          <w:szCs w:val="20"/>
          <w:color w:val="auto"/>
        </w:rPr>
      </w:pPr>
    </w:p>
    <w:p>
      <w:pPr>
        <w:ind w:left="10" w:right="260"/>
        <w:spacing w:after="0" w:line="276" w:lineRule="auto"/>
        <w:rPr>
          <w:sz w:val="20"/>
          <w:szCs w:val="20"/>
          <w:color w:val="auto"/>
        </w:rPr>
      </w:pPr>
      <w:r>
        <w:rPr>
          <w:rFonts w:ascii="Times New Roman" w:cs="Times New Roman" w:eastAsia="Times New Roman" w:hAnsi="Times New Roman"/>
          <w:sz w:val="17"/>
          <w:szCs w:val="17"/>
          <w:color w:val="auto"/>
        </w:rPr>
        <w:t>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w:t>
      </w:r>
    </w:p>
    <w:p>
      <w:pPr>
        <w:spacing w:after="0" w:line="68" w:lineRule="exact"/>
        <w:rPr>
          <w:sz w:val="20"/>
          <w:szCs w:val="20"/>
          <w:color w:val="auto"/>
        </w:rPr>
      </w:pPr>
    </w:p>
    <w:p>
      <w:pPr>
        <w:ind w:left="530" w:hanging="530"/>
        <w:spacing w:after="0"/>
        <w:tabs>
          <w:tab w:leader="none" w:pos="53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Who is an insider?</w:t>
      </w:r>
    </w:p>
    <w:p>
      <w:pPr>
        <w:spacing w:after="0" w:line="118" w:lineRule="exact"/>
        <w:rPr>
          <w:sz w:val="20"/>
          <w:szCs w:val="20"/>
          <w:color w:val="auto"/>
        </w:rPr>
      </w:pPr>
    </w:p>
    <w:p>
      <w:pPr>
        <w:ind w:left="10" w:right="60"/>
        <w:spacing w:after="0" w:line="277" w:lineRule="auto"/>
        <w:rPr>
          <w:sz w:val="20"/>
          <w:szCs w:val="20"/>
          <w:color w:val="auto"/>
        </w:rPr>
      </w:pPr>
      <w:r>
        <w:rPr>
          <w:rFonts w:ascii="Times New Roman" w:cs="Times New Roman" w:eastAsia="Times New Roman" w:hAnsi="Times New Roman"/>
          <w:sz w:val="17"/>
          <w:szCs w:val="17"/>
          <w:color w:val="auto"/>
        </w:rPr>
        <w:t>Any person who possesses material, non-public information is considered an insider as to that information. “</w:t>
      </w:r>
      <w:r>
        <w:rPr>
          <w:rFonts w:ascii="Times New Roman" w:cs="Times New Roman" w:eastAsia="Times New Roman" w:hAnsi="Times New Roman"/>
          <w:sz w:val="17"/>
          <w:szCs w:val="17"/>
          <w:b w:val="1"/>
          <w:bCs w:val="1"/>
          <w:color w:val="auto"/>
        </w:rPr>
        <w:t>Insiders</w:t>
      </w:r>
      <w:r>
        <w:rPr>
          <w:rFonts w:ascii="Times New Roman" w:cs="Times New Roman" w:eastAsia="Times New Roman" w:hAnsi="Times New Roman"/>
          <w:sz w:val="17"/>
          <w:szCs w:val="17"/>
          <w:color w:val="auto"/>
        </w:rPr>
        <w:t>” include officers, directors, and employees of the Company, independent contractors and those persons in a special relationship with the Company such as its auditors or attorneys and any of their Controlled Entities. Insiders may not trade on material, non-public information relating to Company Securities.</w:t>
      </w:r>
    </w:p>
    <w:p>
      <w:pPr>
        <w:spacing w:after="0" w:line="57" w:lineRule="exact"/>
        <w:rPr>
          <w:sz w:val="20"/>
          <w:szCs w:val="20"/>
          <w:color w:val="auto"/>
        </w:rPr>
      </w:pPr>
    </w:p>
    <w:p>
      <w:pPr>
        <w:ind w:left="10" w:right="260"/>
        <w:spacing w:after="0" w:line="295" w:lineRule="auto"/>
        <w:rPr>
          <w:sz w:val="20"/>
          <w:szCs w:val="20"/>
          <w:color w:val="auto"/>
        </w:rPr>
      </w:pPr>
      <w:r>
        <w:rPr>
          <w:rFonts w:ascii="Times New Roman" w:cs="Times New Roman" w:eastAsia="Times New Roman" w:hAnsi="Times New Roman"/>
          <w:sz w:val="17"/>
          <w:szCs w:val="17"/>
          <w:color w:val="auto"/>
        </w:rPr>
        <w:t>It should be noted that trading by members of an officer’s, director’s, employee’s or Relevant Person’s family can be the responsibility of such officer, director, employee or Relevant Person under certain circumstances and could give rise to legal and Company-imposed sanctions.</w:t>
      </w:r>
    </w:p>
    <w:p>
      <w:pPr>
        <w:spacing w:after="0" w:line="53" w:lineRule="exact"/>
        <w:rPr>
          <w:sz w:val="20"/>
          <w:szCs w:val="20"/>
          <w:color w:val="auto"/>
        </w:rPr>
      </w:pPr>
    </w:p>
    <w:p>
      <w:pPr>
        <w:ind w:left="530" w:hanging="530"/>
        <w:spacing w:after="0"/>
        <w:tabs>
          <w:tab w:leader="none" w:pos="530"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Who is an affiliate?</w:t>
      </w:r>
    </w:p>
    <w:p>
      <w:pPr>
        <w:spacing w:after="0" w:line="118" w:lineRule="exact"/>
        <w:rPr>
          <w:sz w:val="20"/>
          <w:szCs w:val="20"/>
          <w:color w:val="auto"/>
        </w:rPr>
      </w:pPr>
    </w:p>
    <w:p>
      <w:pPr>
        <w:ind w:left="10" w:right="20"/>
        <w:spacing w:after="0" w:line="263"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of, or a person “</w:t>
      </w:r>
      <w:r>
        <w:rPr>
          <w:rFonts w:ascii="Times New Roman" w:cs="Times New Roman" w:eastAsia="Times New Roman" w:hAnsi="Times New Roman"/>
          <w:sz w:val="17"/>
          <w:szCs w:val="17"/>
          <w:b w:val="1"/>
          <w:bCs w:val="1"/>
          <w:color w:val="auto"/>
        </w:rPr>
        <w:t>affiliated</w:t>
      </w:r>
      <w:r>
        <w:rPr>
          <w:rFonts w:ascii="Times New Roman" w:cs="Times New Roman" w:eastAsia="Times New Roman" w:hAnsi="Times New Roman"/>
          <w:sz w:val="17"/>
          <w:szCs w:val="17"/>
          <w:color w:val="auto"/>
        </w:rPr>
        <w:t>” with, a specified person, is a person that directly, or indirectly through one or more intermediaries, controls, or is controlled by, or is under common control with, the person specified. The term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(including the terms “controlling”, “controlled by” and “under common control with”) means the possession, direct or indirect, of the power to direct or cause the direction of management and policies of a person, whether through the ownership of voting securities, by contract or otherwise. An affiliate of the Company shall continue to be bound by the trading window requirements (Sections III and VI.A) and the SEC and other rules applicable to an affiliate (including Rule 144 set out in Part 2 of Schedule 2) until after three months from the date of the termination of employment or service agreement. Such affiliate remains a Relevant Person under this Policy during the three-month period.</w:t>
      </w:r>
    </w:p>
    <w:p>
      <w:pPr>
        <w:spacing w:after="0" w:line="110"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190"/>
          </w:cols>
          <w:pgMar w:left="1030" w:top="264" w:right="679" w:bottom="1440" w:gutter="0" w:footer="0" w:header="0"/>
        </w:sectPr>
      </w:pPr>
    </w:p>
    <w:bookmarkStart w:id="391" w:name="page392"/>
    <w:bookmarkEnd w:id="391"/>
    <w:p>
      <w:pPr>
        <w:ind w:left="10"/>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Post-termination Transactions</w:t>
      </w:r>
    </w:p>
    <w:p>
      <w:pPr>
        <w:spacing w:after="0" w:line="118" w:lineRule="exact"/>
        <w:rPr>
          <w:sz w:val="20"/>
          <w:szCs w:val="20"/>
          <w:color w:val="auto"/>
        </w:rPr>
      </w:pPr>
    </w:p>
    <w:p>
      <w:pPr>
        <w:jc w:val="both"/>
        <w:ind w:left="10" w:right="40"/>
        <w:spacing w:after="0" w:line="276" w:lineRule="auto"/>
        <w:rPr>
          <w:sz w:val="20"/>
          <w:szCs w:val="20"/>
          <w:color w:val="auto"/>
        </w:rPr>
      </w:pPr>
      <w:r>
        <w:rPr>
          <w:rFonts w:ascii="Times New Roman" w:cs="Times New Roman" w:eastAsia="Times New Roman" w:hAnsi="Times New Roman"/>
          <w:sz w:val="17"/>
          <w:szCs w:val="17"/>
          <w:color w:val="auto"/>
        </w:rPr>
        <w:t>This Policy continues to apply to transactions in Company Securities even after termination of employment with or service to the Company. If an individual is in possession of material, non-public information when his or her service or employment terminates, that individual may not trade in Company Securities until that information has become public or is no longer material.</w:t>
      </w:r>
    </w:p>
    <w:p>
      <w:pPr>
        <w:spacing w:after="0" w:line="68" w:lineRule="exact"/>
        <w:rPr>
          <w:sz w:val="20"/>
          <w:szCs w:val="20"/>
          <w:color w:val="auto"/>
        </w:rPr>
      </w:pPr>
    </w:p>
    <w:p>
      <w:pPr>
        <w:ind w:left="530" w:hanging="530"/>
        <w:spacing w:after="0"/>
        <w:tabs>
          <w:tab w:leader="none" w:pos="53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Trading by persons other than insiders</w:t>
      </w:r>
    </w:p>
    <w:p>
      <w:pPr>
        <w:spacing w:after="0" w:line="118" w:lineRule="exact"/>
        <w:rPr>
          <w:sz w:val="20"/>
          <w:szCs w:val="20"/>
          <w:color w:val="auto"/>
        </w:rPr>
      </w:pPr>
    </w:p>
    <w:p>
      <w:pPr>
        <w:ind w:left="10" w:right="20"/>
        <w:spacing w:after="0" w:line="277" w:lineRule="auto"/>
        <w:rPr>
          <w:sz w:val="20"/>
          <w:szCs w:val="20"/>
          <w:color w:val="auto"/>
        </w:rPr>
      </w:pPr>
      <w:r>
        <w:rPr>
          <w:rFonts w:ascii="Times New Roman" w:cs="Times New Roman" w:eastAsia="Times New Roman" w:hAnsi="Times New Roman"/>
          <w:sz w:val="17"/>
          <w:szCs w:val="17"/>
          <w:color w:val="auto"/>
        </w:rPr>
        <w:t>Insiders may be liable for communicating or tipping material, non-public information to a third party (“</w:t>
      </w:r>
      <w:r>
        <w:rPr>
          <w:rFonts w:ascii="Times New Roman" w:cs="Times New Roman" w:eastAsia="Times New Roman" w:hAnsi="Times New Roman"/>
          <w:sz w:val="17"/>
          <w:szCs w:val="17"/>
          <w:b w:val="1"/>
          <w:bCs w:val="1"/>
          <w:color w:val="auto"/>
        </w:rPr>
        <w:t>tippee</w:t>
      </w:r>
      <w:r>
        <w:rPr>
          <w:rFonts w:ascii="Times New Roman" w:cs="Times New Roman" w:eastAsia="Times New Roman" w:hAnsi="Times New Roman"/>
          <w:sz w:val="17"/>
          <w:szCs w:val="17"/>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57" w:lineRule="exact"/>
        <w:rPr>
          <w:sz w:val="20"/>
          <w:szCs w:val="20"/>
          <w:color w:val="auto"/>
        </w:rPr>
      </w:pPr>
    </w:p>
    <w:p>
      <w:pPr>
        <w:ind w:left="10"/>
        <w:spacing w:after="0" w:line="269" w:lineRule="auto"/>
        <w:rPr>
          <w:sz w:val="20"/>
          <w:szCs w:val="20"/>
          <w:color w:val="auto"/>
        </w:rPr>
      </w:pPr>
      <w:r>
        <w:rPr>
          <w:rFonts w:ascii="Times New Roman" w:cs="Times New Roman" w:eastAsia="Times New Roman" w:hAnsi="Times New Roman"/>
          <w:sz w:val="17"/>
          <w:szCs w:val="17"/>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65" w:lineRule="exact"/>
        <w:rPr>
          <w:sz w:val="20"/>
          <w:szCs w:val="20"/>
          <w:color w:val="auto"/>
        </w:rPr>
      </w:pPr>
    </w:p>
    <w:p>
      <w:pPr>
        <w:ind w:left="10" w:right="180"/>
        <w:spacing w:after="0" w:line="295" w:lineRule="auto"/>
        <w:rPr>
          <w:sz w:val="20"/>
          <w:szCs w:val="20"/>
          <w:color w:val="auto"/>
        </w:rPr>
      </w:pPr>
      <w:r>
        <w:rPr>
          <w:rFonts w:ascii="Times New Roman" w:cs="Times New Roman" w:eastAsia="Times New Roman" w:hAnsi="Times New Roman"/>
          <w:sz w:val="17"/>
          <w:szCs w:val="17"/>
          <w:color w:val="auto"/>
        </w:rPr>
        <w:t>Tippees may include representatives (including directors, officers and employees) of our affiliates who receive material, non-public information regarding the Company.</w:t>
      </w:r>
    </w:p>
    <w:p>
      <w:pPr>
        <w:spacing w:after="0" w:line="53" w:lineRule="exact"/>
        <w:rPr>
          <w:sz w:val="20"/>
          <w:szCs w:val="20"/>
          <w:color w:val="auto"/>
        </w:rPr>
      </w:pPr>
    </w:p>
    <w:p>
      <w:pPr>
        <w:ind w:left="530" w:hanging="530"/>
        <w:spacing w:after="0"/>
        <w:tabs>
          <w:tab w:leader="none" w:pos="53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Penalties for engaging in insider trading</w:t>
      </w:r>
    </w:p>
    <w:p>
      <w:pPr>
        <w:spacing w:after="0" w:line="120" w:lineRule="exact"/>
        <w:rPr>
          <w:sz w:val="20"/>
          <w:szCs w:val="20"/>
          <w:color w:val="auto"/>
        </w:rPr>
      </w:pPr>
    </w:p>
    <w:p>
      <w:pPr>
        <w:ind w:left="10" w:right="160"/>
        <w:spacing w:after="0" w:line="269" w:lineRule="auto"/>
        <w:rPr>
          <w:sz w:val="20"/>
          <w:szCs w:val="20"/>
          <w:color w:val="auto"/>
        </w:rPr>
      </w:pPr>
      <w:r>
        <w:rPr>
          <w:rFonts w:ascii="Times New Roman" w:cs="Times New Roman" w:eastAsia="Times New Roman" w:hAnsi="Times New Roman"/>
          <w:sz w:val="17"/>
          <w:szCs w:val="17"/>
          <w:color w:val="auto"/>
        </w:rPr>
        <w:t>Penalties for trading on or tipping material, non-public information can extend significantly beyond any profits made or losses avoided, both for individuals engaging in such unlawful conduct and their employers. The SEC and U.S. Department of Justice have made the civil and criminal prosecution of insider trading violations a top priority. Enforcement remedies available to the government or private plaintiffs under the U.S. federal securities laws include:</w:t>
      </w:r>
    </w:p>
    <w:p>
      <w:pPr>
        <w:spacing w:after="0" w:line="78" w:lineRule="exact"/>
        <w:rPr>
          <w:sz w:val="20"/>
          <w:szCs w:val="20"/>
          <w:color w:val="auto"/>
        </w:rPr>
      </w:pPr>
    </w:p>
    <w:p>
      <w:pPr>
        <w:ind w:left="530" w:hanging="425"/>
        <w:spacing w:after="0"/>
        <w:tabs>
          <w:tab w:leader="none" w:pos="530"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administrative sanctions;</w:t>
      </w:r>
    </w:p>
    <w:p>
      <w:pPr>
        <w:spacing w:after="0" w:line="131" w:lineRule="exact"/>
        <w:rPr>
          <w:rFonts w:ascii="Times New Roman" w:cs="Times New Roman" w:eastAsia="Times New Roman" w:hAnsi="Times New Roman"/>
          <w:sz w:val="17"/>
          <w:szCs w:val="17"/>
          <w:color w:val="auto"/>
        </w:rPr>
      </w:pPr>
    </w:p>
    <w:p>
      <w:pPr>
        <w:ind w:left="530" w:hanging="425"/>
        <w:spacing w:after="0"/>
        <w:tabs>
          <w:tab w:leader="none" w:pos="530"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industry self-regulatory organization sanctions;</w:t>
      </w:r>
    </w:p>
    <w:p>
      <w:pPr>
        <w:spacing w:after="0" w:line="157"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210"/>
          </w:cols>
          <w:pgMar w:left="1030" w:top="265" w:right="659" w:bottom="1440" w:gutter="0" w:footer="0" w:header="0"/>
        </w:sectPr>
      </w:pPr>
    </w:p>
    <w:bookmarkStart w:id="392" w:name="page393"/>
    <w:bookmarkEnd w:id="392"/>
    <w:p>
      <w:pPr>
        <w:ind w:left="530" w:hanging="425"/>
        <w:spacing w:after="0"/>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Civil injunctions;</w:t>
      </w:r>
    </w:p>
    <w:p>
      <w:pPr>
        <w:spacing w:after="0" w:line="131" w:lineRule="exact"/>
        <w:rPr>
          <w:rFonts w:ascii="Times New Roman" w:cs="Times New Roman" w:eastAsia="Times New Roman" w:hAnsi="Times New Roman"/>
          <w:sz w:val="17"/>
          <w:szCs w:val="17"/>
          <w:color w:val="auto"/>
        </w:rPr>
      </w:pPr>
    </w:p>
    <w:p>
      <w:pPr>
        <w:ind w:left="530" w:hanging="425"/>
        <w:spacing w:after="0"/>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awards to private plaintiffs;</w:t>
      </w:r>
    </w:p>
    <w:p>
      <w:pPr>
        <w:spacing w:after="0" w:line="131" w:lineRule="exact"/>
        <w:rPr>
          <w:rFonts w:ascii="Times New Roman" w:cs="Times New Roman" w:eastAsia="Times New Roman" w:hAnsi="Times New Roman"/>
          <w:sz w:val="17"/>
          <w:szCs w:val="17"/>
          <w:color w:val="auto"/>
        </w:rPr>
      </w:pPr>
    </w:p>
    <w:p>
      <w:pPr>
        <w:ind w:left="530" w:hanging="425"/>
        <w:spacing w:after="0"/>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 of all profits;</w:t>
      </w:r>
    </w:p>
    <w:p>
      <w:pPr>
        <w:spacing w:after="0" w:line="131" w:lineRule="exact"/>
        <w:rPr>
          <w:rFonts w:ascii="Times New Roman" w:cs="Times New Roman" w:eastAsia="Times New Roman" w:hAnsi="Times New Roman"/>
          <w:sz w:val="17"/>
          <w:szCs w:val="17"/>
          <w:color w:val="auto"/>
        </w:rPr>
      </w:pPr>
    </w:p>
    <w:p>
      <w:pPr>
        <w:ind w:left="530" w:hanging="425"/>
        <w:spacing w:after="0"/>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fines for the violator of up to three times the amount of profit gained or loss avoided;</w:t>
      </w:r>
    </w:p>
    <w:p>
      <w:pPr>
        <w:spacing w:after="0" w:line="131" w:lineRule="exact"/>
        <w:rPr>
          <w:rFonts w:ascii="Times New Roman" w:cs="Times New Roman" w:eastAsia="Times New Roman" w:hAnsi="Times New Roman"/>
          <w:sz w:val="17"/>
          <w:szCs w:val="17"/>
          <w:color w:val="auto"/>
        </w:rPr>
      </w:pPr>
    </w:p>
    <w:p>
      <w:pPr>
        <w:ind w:left="530" w:right="100" w:hanging="425"/>
        <w:spacing w:after="0" w:line="295" w:lineRule="auto"/>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55" w:lineRule="exact"/>
        <w:rPr>
          <w:rFonts w:ascii="Times New Roman" w:cs="Times New Roman" w:eastAsia="Times New Roman" w:hAnsi="Times New Roman"/>
          <w:sz w:val="17"/>
          <w:szCs w:val="17"/>
          <w:color w:val="auto"/>
        </w:rPr>
      </w:pPr>
    </w:p>
    <w:p>
      <w:pPr>
        <w:ind w:left="530" w:hanging="425"/>
        <w:spacing w:after="0"/>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fines for individual violators of up to US$5,000,000 (US$25,000,000 for an entity); and</w:t>
      </w:r>
    </w:p>
    <w:p>
      <w:pPr>
        <w:spacing w:after="0" w:line="131" w:lineRule="exact"/>
        <w:rPr>
          <w:rFonts w:ascii="Times New Roman" w:cs="Times New Roman" w:eastAsia="Times New Roman" w:hAnsi="Times New Roman"/>
          <w:sz w:val="17"/>
          <w:szCs w:val="17"/>
          <w:color w:val="auto"/>
        </w:rPr>
      </w:pPr>
    </w:p>
    <w:p>
      <w:pPr>
        <w:ind w:left="530" w:hanging="425"/>
        <w:spacing w:after="0"/>
        <w:tabs>
          <w:tab w:leader="none" w:pos="53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Jail sentences of up to 20 years.</w:t>
      </w:r>
    </w:p>
    <w:p>
      <w:pPr>
        <w:spacing w:after="0" w:line="118" w:lineRule="exact"/>
        <w:rPr>
          <w:sz w:val="20"/>
          <w:szCs w:val="20"/>
          <w:color w:val="auto"/>
        </w:rPr>
      </w:pPr>
    </w:p>
    <w:p>
      <w:pPr>
        <w:ind w:left="10" w:right="140"/>
        <w:spacing w:after="0" w:line="276" w:lineRule="auto"/>
        <w:rPr>
          <w:sz w:val="20"/>
          <w:szCs w:val="20"/>
          <w:color w:val="auto"/>
        </w:rPr>
      </w:pPr>
      <w:r>
        <w:rPr>
          <w:rFonts w:ascii="Times New Roman" w:cs="Times New Roman" w:eastAsia="Times New Roman" w:hAnsi="Times New Roman"/>
          <w:sz w:val="17"/>
          <w:szCs w:val="17"/>
          <w:color w:val="auto"/>
        </w:rPr>
        <w:t>In addition, insider trading could result in serious sanctions by the Company, including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by insider trading.</w:t>
      </w:r>
    </w:p>
    <w:p>
      <w:pPr>
        <w:spacing w:after="0" w:line="68" w:lineRule="exact"/>
        <w:rPr>
          <w:sz w:val="20"/>
          <w:szCs w:val="20"/>
          <w:color w:val="auto"/>
        </w:rPr>
      </w:pPr>
    </w:p>
    <w:p>
      <w:pPr>
        <w:ind w:left="530" w:hanging="530"/>
        <w:spacing w:after="0"/>
        <w:tabs>
          <w:tab w:leader="none" w:pos="53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Examples of insider trading</w:t>
      </w:r>
    </w:p>
    <w:p>
      <w:pPr>
        <w:spacing w:after="0" w:line="120" w:lineRule="exact"/>
        <w:rPr>
          <w:sz w:val="20"/>
          <w:szCs w:val="20"/>
          <w:color w:val="auto"/>
        </w:rPr>
      </w:pPr>
    </w:p>
    <w:p>
      <w:pPr>
        <w:ind w:left="10"/>
        <w:spacing w:after="0" w:line="269" w:lineRule="auto"/>
        <w:rPr>
          <w:sz w:val="20"/>
          <w:szCs w:val="20"/>
          <w:color w:val="auto"/>
        </w:rPr>
      </w:pPr>
      <w:r>
        <w:rPr>
          <w:rFonts w:ascii="Times New Roman" w:cs="Times New Roman" w:eastAsia="Times New Roman" w:hAnsi="Times New Roman"/>
          <w:sz w:val="17"/>
          <w:szCs w:val="17"/>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65" w:lineRule="exact"/>
        <w:rPr>
          <w:sz w:val="20"/>
          <w:szCs w:val="20"/>
          <w:color w:val="auto"/>
        </w:rPr>
      </w:pPr>
    </w:p>
    <w:p>
      <w:pPr>
        <w:ind w:left="10" w:right="200"/>
        <w:spacing w:after="0" w:line="295" w:lineRule="auto"/>
        <w:rPr>
          <w:sz w:val="20"/>
          <w:szCs w:val="20"/>
          <w:color w:val="auto"/>
        </w:rPr>
      </w:pPr>
      <w:r>
        <w:rPr>
          <w:rFonts w:ascii="Times New Roman" w:cs="Times New Roman" w:eastAsia="Times New Roman" w:hAnsi="Times New Roman"/>
          <w:sz w:val="17"/>
          <w:szCs w:val="17"/>
          <w:color w:val="auto"/>
        </w:rPr>
        <w:t>The following are illustrations of insider trading violations. These illustrations are hypothetical and, consequently, not intended to reflect on the actual activities or business of the Company or any other entity.</w:t>
      </w:r>
    </w:p>
    <w:p>
      <w:pPr>
        <w:spacing w:after="0" w:line="81"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210"/>
          </w:cols>
          <w:pgMar w:left="1030" w:top="265" w:right="659" w:bottom="1440" w:gutter="0" w:footer="0" w:header="0"/>
        </w:sectPr>
      </w:pPr>
    </w:p>
    <w:bookmarkStart w:id="393" w:name="page394"/>
    <w:bookmarkEnd w:id="393"/>
    <w:p>
      <w:pPr>
        <w:ind w:left="420"/>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Trading by Insider</w:t>
      </w:r>
    </w:p>
    <w:p>
      <w:pPr>
        <w:spacing w:after="0" w:line="118" w:lineRule="exact"/>
        <w:rPr>
          <w:sz w:val="20"/>
          <w:szCs w:val="20"/>
          <w:color w:val="auto"/>
        </w:rPr>
      </w:pPr>
    </w:p>
    <w:p>
      <w:pPr>
        <w:ind w:left="420" w:right="20"/>
        <w:spacing w:after="0" w:line="266" w:lineRule="auto"/>
        <w:rPr>
          <w:sz w:val="20"/>
          <w:szCs w:val="20"/>
          <w:color w:val="auto"/>
        </w:rPr>
      </w:pPr>
      <w:r>
        <w:rPr>
          <w:rFonts w:ascii="Times New Roman" w:cs="Times New Roman" w:eastAsia="Times New Roman" w:hAnsi="Times New Roman"/>
          <w:sz w:val="17"/>
          <w:szCs w:val="17"/>
          <w:color w:val="auto"/>
        </w:rPr>
        <w:t>An officer of X Corporation learns that earnings to be reported by X Corporation will increase dramatically. Prior to the public announcement of such earnings, the officer purchases X Corporation’s shares. The officer, an insider, is liable for all profits as well as penalties of up to three times the amount of all profits. The officer also is subject to, among other things, criminal prosecution, including up to US$5,000,000 in additional fines and 20 years in jail. Depending upon the circumstances, X Corporation and the individual to whom the officer reports also could be liable as controlling persons.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u w:val="single" w:color="auto"/>
          <w:color w:val="auto"/>
        </w:rPr>
        <w:t>Trading by Tippee</w:t>
      </w:r>
    </w:p>
    <w:p>
      <w:pPr>
        <w:spacing w:after="0" w:line="118" w:lineRule="exact"/>
        <w:rPr>
          <w:sz w:val="20"/>
          <w:szCs w:val="20"/>
          <w:color w:val="auto"/>
        </w:rPr>
      </w:pPr>
    </w:p>
    <w:p>
      <w:pPr>
        <w:ind w:left="420"/>
        <w:spacing w:after="0" w:line="269" w:lineRule="auto"/>
        <w:rPr>
          <w:sz w:val="20"/>
          <w:szCs w:val="20"/>
          <w:color w:val="auto"/>
        </w:rPr>
      </w:pPr>
      <w:r>
        <w:rPr>
          <w:rFonts w:ascii="Times New Roman" w:cs="Times New Roman" w:eastAsia="Times New Roman" w:hAnsi="Times New Roman"/>
          <w:sz w:val="17"/>
          <w:szCs w:val="17"/>
          <w:color w:val="auto"/>
        </w:rPr>
        <w:t>An officer of X Corporation tells a friend that X Corporation is about to publicly announce that it has entered into an agreement for a major acquisition. This friend purchases X Corporation’s shares in advance of the announcement. The officer is jointly liable with his friend for all of the friend’s profits and each is liable for all penalties of up to three times the amount of the friend’s profits. In addition, the officer and his friend are subject to, among other things, criminal prosecution.</w:t>
      </w:r>
    </w:p>
    <w:p>
      <w:pPr>
        <w:spacing w:after="0" w:line="76" w:lineRule="exact"/>
        <w:rPr>
          <w:sz w:val="20"/>
          <w:szCs w:val="20"/>
          <w:color w:val="auto"/>
        </w:rPr>
      </w:pPr>
    </w:p>
    <w:p>
      <w:pPr>
        <w:ind w:left="940" w:hanging="530"/>
        <w:spacing w:after="0"/>
        <w:tabs>
          <w:tab w:leader="none" w:pos="94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Individual Responsibility</w:t>
      </w:r>
    </w:p>
    <w:p>
      <w:pPr>
        <w:spacing w:after="0" w:line="120" w:lineRule="exact"/>
        <w:rPr>
          <w:sz w:val="20"/>
          <w:szCs w:val="20"/>
          <w:color w:val="auto"/>
        </w:rPr>
      </w:pPr>
    </w:p>
    <w:p>
      <w:pPr>
        <w:ind w:left="420" w:right="20"/>
        <w:spacing w:after="0" w:line="276" w:lineRule="auto"/>
        <w:rPr>
          <w:sz w:val="20"/>
          <w:szCs w:val="20"/>
          <w:color w:val="auto"/>
        </w:rPr>
      </w:pPr>
      <w:r>
        <w:rPr>
          <w:rFonts w:ascii="Times New Roman" w:cs="Times New Roman" w:eastAsia="Times New Roman" w:hAnsi="Times New Roman"/>
          <w:sz w:val="17"/>
          <w:szCs w:val="17"/>
          <w:color w:val="auto"/>
        </w:rPr>
        <w:t>In all cases, the responsibility for determining whether an individual is in possession of material, non-public information rests with that individual, and any action on the part of the Company, the CLO or any other employee or director pursuant to this Policy (or otherwise) does not in any way constitute legal advice or insulate an individual from liability under applicable securities laws.</w:t>
      </w:r>
    </w:p>
    <w:p>
      <w:pPr>
        <w:spacing w:after="0" w:line="3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VI.</w:t>
        <w:tab/>
        <w:t>Procedures Preventing Insider Trading</w:t>
      </w:r>
    </w:p>
    <w:p>
      <w:pPr>
        <w:spacing w:after="0" w:line="120" w:lineRule="exact"/>
        <w:rPr>
          <w:sz w:val="20"/>
          <w:szCs w:val="20"/>
          <w:color w:val="auto"/>
        </w:rPr>
      </w:pPr>
    </w:p>
    <w:p>
      <w:pPr>
        <w:ind w:left="420" w:right="160"/>
        <w:spacing w:after="0" w:line="295" w:lineRule="auto"/>
        <w:rPr>
          <w:sz w:val="20"/>
          <w:szCs w:val="20"/>
          <w:color w:val="auto"/>
        </w:rPr>
      </w:pPr>
      <w:r>
        <w:rPr>
          <w:rFonts w:ascii="Times New Roman" w:cs="Times New Roman" w:eastAsia="Times New Roman" w:hAnsi="Times New Roman"/>
          <w:sz w:val="17"/>
          <w:szCs w:val="17"/>
          <w:color w:val="auto"/>
        </w:rPr>
        <w:t>The following procedures have been established, and will be maintained and enforced, by the Company to prevent insider trading. Every officer, director, Designated Person and other Relevant Person is required to follow the relevant procedures below.</w:t>
      </w:r>
    </w:p>
    <w:p>
      <w:pPr>
        <w:spacing w:after="0" w:line="53" w:lineRule="exact"/>
        <w:rPr>
          <w:sz w:val="20"/>
          <w:szCs w:val="20"/>
          <w:color w:val="auto"/>
        </w:rPr>
      </w:pPr>
    </w:p>
    <w:p>
      <w:pPr>
        <w:ind w:left="940" w:hanging="530"/>
        <w:spacing w:after="0"/>
        <w:tabs>
          <w:tab w:leader="none" w:pos="94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Certification and Pre-Clearance Prior to Trading</w:t>
      </w:r>
    </w:p>
    <w:p>
      <w:pPr>
        <w:spacing w:after="0" w:line="120" w:lineRule="exact"/>
        <w:rPr>
          <w:rFonts w:ascii="Times New Roman" w:cs="Times New Roman" w:eastAsia="Times New Roman" w:hAnsi="Times New Roman"/>
          <w:sz w:val="17"/>
          <w:szCs w:val="17"/>
          <w:color w:val="auto"/>
        </w:rPr>
      </w:pPr>
    </w:p>
    <w:p>
      <w:pPr>
        <w:ind w:left="960" w:right="1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Company directors, officers, Designated Persons, their Family Members and their Controlled Entities must pre-clear all proposed transactions in Company Securities (including any entry into or modifications of 10b5-1 Trading Plans) in accordance with the following procedures. Pre-clearance should not be understood to represent legal advice by the Company that a proposed transaction complies with the law. Notwithstanding receipt of pre-clearance, if a Relevant Person becomes aware of material, non-public information, or becomes subject to a blackout period after pre-clearance but before the transaction is effected, the transaction may not be completed.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40"/>
          </w:cols>
          <w:pgMar w:left="620" w:top="264" w:right="639" w:bottom="1440" w:gutter="0" w:footer="0" w:header="0"/>
        </w:sectPr>
      </w:pPr>
    </w:p>
    <w:bookmarkStart w:id="394" w:name="page395"/>
    <w:bookmarkEnd w:id="394"/>
    <w:p>
      <w:pPr>
        <w:ind w:left="540" w:hanging="414"/>
        <w:spacing w:after="0" w:line="259" w:lineRule="auto"/>
        <w:tabs>
          <w:tab w:leader="none" w:pos="54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Officers’ or Employees’ Trading—prior to directly or indirectly trading any Company Securities (including securities of a Listed Sub), the Company’s officers and Designated Persons (other than the Company’s directors who are subject to an alternative procedure below) and their respective Family Members and Controlled Entities (collectively, the “</w:t>
      </w:r>
      <w:r>
        <w:rPr>
          <w:rFonts w:ascii="Times New Roman" w:cs="Times New Roman" w:eastAsia="Times New Roman" w:hAnsi="Times New Roman"/>
          <w:sz w:val="17"/>
          <w:szCs w:val="17"/>
          <w:b w:val="1"/>
          <w:bCs w:val="1"/>
          <w:color w:val="auto"/>
        </w:rPr>
        <w:t>Pre-Clearance Employees</w:t>
      </w:r>
      <w:r>
        <w:rPr>
          <w:rFonts w:ascii="Times New Roman" w:cs="Times New Roman" w:eastAsia="Times New Roman" w:hAnsi="Times New Roman"/>
          <w:sz w:val="17"/>
          <w:szCs w:val="17"/>
          <w:color w:val="auto"/>
        </w:rPr>
        <w:t>”) are required to seek approval from the CLO or the Company Counsel, by submitting a “Request for Approval of Personal Securities Transaction” in a form designated or approved by the CLO from time to time (Form II) (the “</w:t>
      </w:r>
      <w:r>
        <w:rPr>
          <w:rFonts w:ascii="Times New Roman" w:cs="Times New Roman" w:eastAsia="Times New Roman" w:hAnsi="Times New Roman"/>
          <w:sz w:val="17"/>
          <w:szCs w:val="17"/>
          <w:b w:val="1"/>
          <w:bCs w:val="1"/>
          <w:color w:val="auto"/>
        </w:rPr>
        <w:t>Approval Request</w:t>
      </w:r>
      <w:r>
        <w:rPr>
          <w:rFonts w:ascii="Times New Roman" w:cs="Times New Roman" w:eastAsia="Times New Roman" w:hAnsi="Times New Roman"/>
          <w:sz w:val="17"/>
          <w:szCs w:val="17"/>
          <w:color w:val="auto"/>
        </w:rPr>
        <w:t>”), in which such Pre-Clearance Employee is required to certify that he or she is not in possession of material, non-public information about the Company. The CLO has delegated authority to make changes to the Approval Request from time to time as needed for better administration of this Policy or to enhance compliance with applicable laws and regulations. In making such certification, the explanations of “material” and “non-public” information set forth above should be of assistance. If such Pre-Clearance Employee is unable to make such certification or if the CLO otherwise determines that the Company and/or such Pre-Clearance Employee is or may be in possession of material, non-public information, then there may be no trading in any Company Security. The Approval Request shall be given to the CLO or the Company Counsel no later than three business days prior to the proposed transaction date. Clearance to trade in Company Securities once given is valid for no longer than five business days of clearance being received (inclusive of the date clearance is given), while the trading window is open. If the transaction order is not placed and the transaction is not executed within such five business day clearance period, while the trading window is open, clearance for the proposed transaction must be re-requested. If clearance is denied, the fact of such denial must be kept confidential by such Relevant Person who requested the clearance.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on which the relevant stock exchange is open for trading of securities generally.</w:t>
      </w:r>
    </w:p>
    <w:p>
      <w:pPr>
        <w:spacing w:after="0" w:line="295" w:lineRule="exact"/>
        <w:rPr>
          <w:rFonts w:ascii="Times New Roman" w:cs="Times New Roman" w:eastAsia="Times New Roman" w:hAnsi="Times New Roman"/>
          <w:sz w:val="17"/>
          <w:szCs w:val="17"/>
          <w:color w:val="auto"/>
        </w:rPr>
      </w:pPr>
    </w:p>
    <w:p>
      <w:pPr>
        <w:ind w:left="540" w:right="560" w:hanging="414"/>
        <w:spacing w:after="0" w:line="295" w:lineRule="auto"/>
        <w:tabs>
          <w:tab w:leader="none" w:pos="54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Pre-Clearance Employee is the CLO, the CLO is required to follow the same pre-clearance procedures for trading any Company Securities and give substantially the same certifications except with the following modifications:</w:t>
      </w:r>
    </w:p>
    <w:p>
      <w:pPr>
        <w:spacing w:after="0" w:line="55" w:lineRule="exact"/>
        <w:rPr>
          <w:rFonts w:ascii="Times New Roman" w:cs="Times New Roman" w:eastAsia="Times New Roman" w:hAnsi="Times New Roman"/>
          <w:sz w:val="17"/>
          <w:szCs w:val="17"/>
          <w:color w:val="auto"/>
        </w:rPr>
      </w:pPr>
    </w:p>
    <w:p>
      <w:pPr>
        <w:ind w:left="1080" w:hanging="523"/>
        <w:spacing w:after="0"/>
        <w:tabs>
          <w:tab w:leader="none" w:pos="1080"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Request shall be addressed to the Chairperson of the NCGC, the CEO or CFO; and</w:t>
      </w:r>
    </w:p>
    <w:p>
      <w:pPr>
        <w:spacing w:after="0" w:line="131" w:lineRule="exact"/>
        <w:rPr>
          <w:rFonts w:ascii="Times New Roman" w:cs="Times New Roman" w:eastAsia="Times New Roman" w:hAnsi="Times New Roman"/>
          <w:sz w:val="17"/>
          <w:szCs w:val="17"/>
          <w:color w:val="auto"/>
        </w:rPr>
      </w:pPr>
    </w:p>
    <w:p>
      <w:pPr>
        <w:ind w:left="1080" w:hanging="523"/>
        <w:spacing w:after="0"/>
        <w:tabs>
          <w:tab w:leader="none" w:pos="1080"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addressee of the Approval Request shall act as the approver of the Approval Request.</w:t>
      </w:r>
    </w:p>
    <w:p>
      <w:pPr>
        <w:spacing w:after="0" w:line="1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9740"/>
          </w:cols>
          <w:pgMar w:left="1440" w:top="265" w:right="719" w:bottom="1440" w:gutter="0" w:footer="0" w:header="0"/>
        </w:sectPr>
      </w:pPr>
    </w:p>
    <w:bookmarkStart w:id="395" w:name="page396"/>
    <w:bookmarkEnd w:id="395"/>
    <w:p>
      <w:pPr>
        <w:ind w:left="540" w:right="480" w:hanging="414"/>
        <w:spacing w:after="0" w:line="295" w:lineRule="auto"/>
        <w:tabs>
          <w:tab w:leader="none" w:pos="54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Directors’ (and their Family Members and Controlled Entities’) Trading—in relation to Company’s directors and their Family Members and Controlled Entities, the following procedures shall be followed:</w:t>
      </w:r>
    </w:p>
    <w:p>
      <w:pPr>
        <w:spacing w:after="0" w:line="42" w:lineRule="exact"/>
        <w:rPr>
          <w:rFonts w:ascii="Times New Roman" w:cs="Times New Roman" w:eastAsia="Times New Roman" w:hAnsi="Times New Roman"/>
          <w:sz w:val="17"/>
          <w:szCs w:val="17"/>
          <w:color w:val="auto"/>
        </w:rPr>
      </w:pPr>
    </w:p>
    <w:p>
      <w:pPr>
        <w:ind w:left="560" w:right="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Company’s director or his or her Family Members or Controlled Entities intend to trade Company Securities within a trading window as set out in Section III.C.(b), such Company’s director is required to first notify in writing the Chairperson or the Designated Director (as defined below) (other than himself or herself) (and copying the Company’s company secretary) and receive a dated written acknowledgment, in a form designated or approved by the CLO from time to time (Form III)), from the Chairperson or the Designated Director. In his or her own case, the Chairperson must first notify the Board at a Board meeting, or alternatively notify the Designated Director (otherwise than himself or herself) (and copying the Company’s company secretary) and receive a dated written acknowledgement from the Designated Director before any trading. In each case:</w:t>
      </w:r>
    </w:p>
    <w:p>
      <w:pPr>
        <w:spacing w:after="0" w:line="81" w:lineRule="exact"/>
        <w:rPr>
          <w:rFonts w:ascii="Times New Roman" w:cs="Times New Roman" w:eastAsia="Times New Roman" w:hAnsi="Times New Roman"/>
          <w:sz w:val="17"/>
          <w:szCs w:val="17"/>
          <w:color w:val="auto"/>
        </w:rPr>
      </w:pPr>
    </w:p>
    <w:p>
      <w:pPr>
        <w:ind w:left="1080" w:right="240" w:hanging="523"/>
        <w:spacing w:after="0" w:line="295" w:lineRule="auto"/>
        <w:tabs>
          <w:tab w:leader="none" w:pos="1080"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 response to a request for clearance being given to the relevant director, the request must first be reviewed by the CLO or GCGC or the Company Counsel;</w:t>
      </w:r>
    </w:p>
    <w:p>
      <w:pPr>
        <w:spacing w:after="0" w:line="55" w:lineRule="exact"/>
        <w:rPr>
          <w:rFonts w:ascii="Times New Roman" w:cs="Times New Roman" w:eastAsia="Times New Roman" w:hAnsi="Times New Roman"/>
          <w:sz w:val="17"/>
          <w:szCs w:val="17"/>
          <w:color w:val="auto"/>
        </w:rPr>
      </w:pPr>
    </w:p>
    <w:p>
      <w:pPr>
        <w:ind w:left="1080" w:right="180" w:hanging="523"/>
        <w:spacing w:after="0" w:line="295" w:lineRule="auto"/>
        <w:tabs>
          <w:tab w:leader="none" w:pos="1080"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response to a request for clearance to trade must be given to the relevant director within five business days of the request being made; and</w:t>
      </w:r>
    </w:p>
    <w:p>
      <w:pPr>
        <w:spacing w:after="0" w:line="55" w:lineRule="exact"/>
        <w:rPr>
          <w:rFonts w:ascii="Times New Roman" w:cs="Times New Roman" w:eastAsia="Times New Roman" w:hAnsi="Times New Roman"/>
          <w:sz w:val="17"/>
          <w:szCs w:val="17"/>
          <w:color w:val="auto"/>
        </w:rPr>
      </w:pPr>
    </w:p>
    <w:p>
      <w:pPr>
        <w:ind w:left="1080" w:right="260" w:hanging="523"/>
        <w:spacing w:after="0" w:line="295" w:lineRule="auto"/>
        <w:tabs>
          <w:tab w:leader="none" w:pos="1080"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clearance to trade in accordance with (ii) above must be valid for no longer than five business days of clearance being received (inclusive of the date clearance is given) while the trading window is open.</w:t>
      </w:r>
    </w:p>
    <w:p>
      <w:pPr>
        <w:spacing w:after="0" w:line="42" w:lineRule="exact"/>
        <w:rPr>
          <w:sz w:val="20"/>
          <w:szCs w:val="20"/>
          <w:color w:val="auto"/>
        </w:rPr>
      </w:pPr>
    </w:p>
    <w:p>
      <w:pPr>
        <w:ind w:left="560"/>
        <w:spacing w:after="0" w:line="268" w:lineRule="auto"/>
        <w:rPr>
          <w:sz w:val="20"/>
          <w:szCs w:val="20"/>
          <w:color w:val="auto"/>
        </w:rPr>
      </w:pPr>
      <w:r>
        <w:rPr>
          <w:rFonts w:ascii="Times New Roman" w:cs="Times New Roman" w:eastAsia="Times New Roman" w:hAnsi="Times New Roman"/>
          <w:sz w:val="17"/>
          <w:szCs w:val="17"/>
          <w:color w:val="auto"/>
        </w:rPr>
        <w:t>If a Company’s director proposes to trade Company Securities where such trading is otherwise prohibited under this Policy, the director must, in addition to complying with the procedures stated in this Section VI.A.(c) regarding prior written notice and acknowledgement, satisfy the Chairperson or Designated Director that the circumstances are exceptional and the proposed trading in Company Securities is the only reasonable course of action available to such director before he or she can trade in Company Securities.</w:t>
      </w:r>
    </w:p>
    <w:p>
      <w:pPr>
        <w:spacing w:after="0" w:line="277" w:lineRule="exact"/>
        <w:rPr>
          <w:sz w:val="20"/>
          <w:szCs w:val="20"/>
          <w:color w:val="auto"/>
        </w:rPr>
      </w:pPr>
    </w:p>
    <w:p>
      <w:pPr>
        <w:jc w:val="both"/>
        <w:ind w:left="560" w:right="260"/>
        <w:spacing w:after="0" w:line="276" w:lineRule="auto"/>
        <w:rPr>
          <w:sz w:val="20"/>
          <w:szCs w:val="20"/>
          <w:color w:val="auto"/>
        </w:rPr>
      </w:pPr>
      <w:r>
        <w:rPr>
          <w:rFonts w:ascii="Times New Roman" w:cs="Times New Roman" w:eastAsia="Times New Roman" w:hAnsi="Times New Roman"/>
          <w:sz w:val="17"/>
          <w:szCs w:val="17"/>
          <w:color w:val="auto"/>
        </w:rPr>
        <w:t>The above procedures are equally applicable to a Family Member or Controlled Entity of a Company’s director. The Company’s director is responsible to follow the above procedures if any of his or her Family Members or Controlled Entities intends to trade Company Securities.</w:t>
      </w:r>
    </w:p>
    <w:p>
      <w:pPr>
        <w:spacing w:after="0" w:line="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9800"/>
          </w:cols>
          <w:pgMar w:left="1440" w:top="265" w:right="659" w:bottom="1440" w:gutter="0" w:footer="0" w:header="0"/>
        </w:sectPr>
      </w:pPr>
    </w:p>
    <w:bookmarkStart w:id="396" w:name="page397"/>
    <w:bookmarkEnd w:id="396"/>
    <w:p>
      <w:pPr>
        <w:ind w:left="97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the purpose of the above, the “</w:t>
      </w:r>
      <w:r>
        <w:rPr>
          <w:rFonts w:ascii="Times New Roman" w:cs="Times New Roman" w:eastAsia="Times New Roman" w:hAnsi="Times New Roman"/>
          <w:sz w:val="17"/>
          <w:szCs w:val="17"/>
          <w:b w:val="1"/>
          <w:bCs w:val="1"/>
          <w:color w:val="auto"/>
        </w:rPr>
        <w:t>Designated Director</w:t>
      </w:r>
      <w:r>
        <w:rPr>
          <w:rFonts w:ascii="Times New Roman" w:cs="Times New Roman" w:eastAsia="Times New Roman" w:hAnsi="Times New Roman"/>
          <w:sz w:val="17"/>
          <w:szCs w:val="17"/>
          <w:color w:val="auto"/>
        </w:rPr>
        <w:t>” is determined as follows:</w:t>
      </w:r>
    </w:p>
    <w:p>
      <w:pPr>
        <w:spacing w:after="0" w:line="120" w:lineRule="exact"/>
        <w:rPr>
          <w:sz w:val="20"/>
          <w:szCs w:val="20"/>
          <w:color w:val="auto"/>
        </w:rPr>
      </w:pPr>
    </w:p>
    <w:p>
      <w:pPr>
        <w:ind w:left="970" w:right="20"/>
        <w:spacing w:after="0" w:line="263" w:lineRule="auto"/>
        <w:rPr>
          <w:sz w:val="20"/>
          <w:szCs w:val="20"/>
          <w:color w:val="auto"/>
        </w:rPr>
      </w:pPr>
      <w:r>
        <w:rPr>
          <w:rFonts w:ascii="Times New Roman" w:cs="Times New Roman" w:eastAsia="Times New Roman" w:hAnsi="Times New Roman"/>
          <w:sz w:val="17"/>
          <w:szCs w:val="17"/>
          <w:color w:val="auto"/>
        </w:rPr>
        <w:t>The Chairperson of the NCGC has been designated as the Designated Director to receive and sign the written acknowledgement given by the Company’s director. If the Chairperson of the NCGC is the Company’s director who, himself or herself or through a Family Member or Controlled Entity, intends to trade Company Securities or is otherwise not available to act, the Chairperson of the Compensation Committee would act as the Designated Director. If the Chairperson of the Compensation Committee who, himself or herself or through a Family Member or Controlled Entity, intends to trade Company Securities or is otherwise not available to act, one of the other independent non-executive directors would act as the Designated Director, failing which, the Chairperson must be notified and his or her acknowledgement obtained.</w:t>
      </w:r>
    </w:p>
    <w:p>
      <w:pPr>
        <w:spacing w:after="0" w:line="82" w:lineRule="exact"/>
        <w:rPr>
          <w:sz w:val="20"/>
          <w:szCs w:val="20"/>
          <w:color w:val="auto"/>
        </w:rPr>
      </w:pPr>
    </w:p>
    <w:p>
      <w:pPr>
        <w:ind w:left="950" w:hanging="414"/>
        <w:spacing w:after="0" w:line="276" w:lineRule="auto"/>
        <w:tabs>
          <w:tab w:leader="none" w:pos="95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refer to Section IV and Part 1 of Schedule 2 for the restrictions and requirements that apply to 10b5-1 Trading Plans. Transactions effected pursuant to pre-cleared 10b5-1 Trading Plans will not require further pre-clearance prior to the execution of the transaction.</w:t>
      </w:r>
    </w:p>
    <w:p>
      <w:pPr>
        <w:spacing w:after="0" w:line="57" w:lineRule="exact"/>
        <w:rPr>
          <w:rFonts w:ascii="Times New Roman" w:cs="Times New Roman" w:eastAsia="Times New Roman" w:hAnsi="Times New Roman"/>
          <w:sz w:val="17"/>
          <w:szCs w:val="17"/>
          <w:color w:val="auto"/>
        </w:rPr>
      </w:pPr>
    </w:p>
    <w:p>
      <w:pPr>
        <w:ind w:left="970" w:right="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10b5-1 Trading Plan shall be in writing and shall have all the information required by a broker or an agent and is subject to the pre-approval by the Authorizing Officer as set forth in Part 1 of Schedule 2.</w:t>
      </w:r>
    </w:p>
    <w:p>
      <w:pPr>
        <w:spacing w:after="0" w:line="288"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Information Relating to the Company</w:t>
      </w:r>
    </w:p>
    <w:p>
      <w:pPr>
        <w:spacing w:after="0" w:line="131" w:lineRule="exact"/>
        <w:rPr>
          <w:rFonts w:ascii="Times New Roman" w:cs="Times New Roman" w:eastAsia="Times New Roman" w:hAnsi="Times New Roman"/>
          <w:sz w:val="17"/>
          <w:szCs w:val="17"/>
          <w:color w:val="auto"/>
        </w:rPr>
      </w:pPr>
    </w:p>
    <w:p>
      <w:pPr>
        <w:ind w:left="950" w:hanging="414"/>
        <w:spacing w:after="0"/>
        <w:tabs>
          <w:tab w:leader="none" w:pos="950" w:val="left"/>
        </w:tabs>
        <w:numPr>
          <w:ilvl w:val="1"/>
          <w:numId w:val="28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Access to Information</w:t>
      </w:r>
    </w:p>
    <w:p>
      <w:pPr>
        <w:spacing w:after="0" w:line="120" w:lineRule="exact"/>
        <w:rPr>
          <w:rFonts w:ascii="Times New Roman" w:cs="Times New Roman" w:eastAsia="Times New Roman" w:hAnsi="Times New Roman"/>
          <w:sz w:val="17"/>
          <w:szCs w:val="17"/>
          <w:i w:val="1"/>
          <w:iCs w:val="1"/>
          <w:color w:val="auto"/>
        </w:rPr>
      </w:pPr>
    </w:p>
    <w:p>
      <w:pPr>
        <w:ind w:left="970" w:right="80"/>
        <w:spacing w:after="0" w:line="276"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within or outside the Company other than on a need-to-know basis.</w:t>
      </w:r>
    </w:p>
    <w:p>
      <w:pPr>
        <w:spacing w:after="0" w:line="97"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230"/>
          </w:cols>
          <w:pgMar w:left="1030" w:top="263" w:right="639" w:bottom="1440" w:gutter="0" w:footer="0" w:header="0"/>
        </w:sectPr>
      </w:pPr>
    </w:p>
    <w:bookmarkStart w:id="397" w:name="page398"/>
    <w:bookmarkEnd w:id="397"/>
    <w:p>
      <w:pPr>
        <w:ind w:left="1380"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communicating material, non-public information to employees of the Company, all officers, directors, employees and Relevant Persons must take care to emphasize the need for confidential treatment of such information and adherence to the Company’s policies with regard to confidential information.</w:t>
      </w:r>
    </w:p>
    <w:p>
      <w:pPr>
        <w:spacing w:after="0" w:line="68" w:lineRule="exact"/>
        <w:rPr>
          <w:sz w:val="20"/>
          <w:szCs w:val="20"/>
          <w:color w:val="auto"/>
        </w:rPr>
      </w:pPr>
    </w:p>
    <w:p>
      <w:pPr>
        <w:ind w:left="1360" w:hanging="414"/>
        <w:spacing w:after="0"/>
        <w:tabs>
          <w:tab w:leader="none" w:pos="1360" w:val="left"/>
        </w:tabs>
        <w:numPr>
          <w:ilvl w:val="1"/>
          <w:numId w:val="28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Inquiries From Third Parties</w:t>
      </w:r>
    </w:p>
    <w:p>
      <w:pPr>
        <w:spacing w:after="0" w:line="120" w:lineRule="exact"/>
        <w:rPr>
          <w:rFonts w:ascii="Times New Roman" w:cs="Times New Roman" w:eastAsia="Times New Roman" w:hAnsi="Times New Roman"/>
          <w:sz w:val="17"/>
          <w:szCs w:val="17"/>
          <w:i w:val="1"/>
          <w:iCs w:val="1"/>
          <w:color w:val="auto"/>
        </w:rPr>
      </w:pPr>
    </w:p>
    <w:p>
      <w:pPr>
        <w:ind w:left="1380" w:right="20"/>
        <w:spacing w:after="0" w:line="29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Inquiries from third parties, such as industry analysts or members of the media, about the Company should be handled in accordance with the Guidelines for Corporate Communications and Continuous Disclosure.</w:t>
      </w:r>
    </w:p>
    <w:p>
      <w:pPr>
        <w:spacing w:after="0" w:line="288" w:lineRule="exact"/>
        <w:rPr>
          <w:rFonts w:ascii="Times New Roman" w:cs="Times New Roman" w:eastAsia="Times New Roman" w:hAnsi="Times New Roman"/>
          <w:sz w:val="17"/>
          <w:szCs w:val="17"/>
          <w:i w:val="1"/>
          <w:iCs w:val="1"/>
          <w:color w:val="auto"/>
        </w:rPr>
      </w:pPr>
    </w:p>
    <w:p>
      <w:pPr>
        <w:jc w:val="both"/>
        <w:ind w:left="960" w:right="4840" w:hanging="550"/>
        <w:spacing w:after="0" w:line="426" w:lineRule="auto"/>
        <w:tabs>
          <w:tab w:leader="none" w:pos="941"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Limitations on Access to and Confidentiality of Company Information </w:t>
      </w:r>
      <w:r>
        <w:rPr>
          <w:rFonts w:ascii="Times New Roman" w:cs="Times New Roman" w:eastAsia="Times New Roman" w:hAnsi="Times New Roman"/>
          <w:sz w:val="17"/>
          <w:szCs w:val="17"/>
          <w:color w:val="auto"/>
        </w:rPr>
        <w:t>Please refer to the Company’s Code of Business Conduct and Ethics.</w:t>
      </w:r>
    </w:p>
    <w:p>
      <w:pPr>
        <w:spacing w:after="0" w:line="181" w:lineRule="exact"/>
        <w:rPr>
          <w:rFonts w:ascii="Times New Roman" w:cs="Times New Roman" w:eastAsia="Times New Roman" w:hAnsi="Times New Roman"/>
          <w:sz w:val="17"/>
          <w:szCs w:val="17"/>
          <w:color w:val="auto"/>
        </w:rPr>
      </w:pPr>
    </w:p>
    <w:p>
      <w:pPr>
        <w:ind w:left="940" w:hanging="530"/>
        <w:spacing w:after="0"/>
        <w:tabs>
          <w:tab w:leader="none" w:pos="94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Corrective Action</w:t>
      </w:r>
    </w:p>
    <w:p>
      <w:pPr>
        <w:spacing w:after="0" w:line="120" w:lineRule="exact"/>
        <w:rPr>
          <w:rFonts w:ascii="Times New Roman" w:cs="Times New Roman" w:eastAsia="Times New Roman" w:hAnsi="Times New Roman"/>
          <w:sz w:val="17"/>
          <w:szCs w:val="17"/>
          <w:color w:val="auto"/>
        </w:rPr>
      </w:pPr>
    </w:p>
    <w:p>
      <w:pPr>
        <w:ind w:left="960" w:right="3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potentially material information is inadvertently disclosed, the officer, director, employee or Relevant Persons should notify the CLO immediately so that the Company can determine if corrective action, such as general disclosure to the public, is warranted.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VII. Melco International’s Listed Securities</w:t>
      </w:r>
    </w:p>
    <w:p>
      <w:pPr>
        <w:spacing w:after="0" w:line="120" w:lineRule="exact"/>
        <w:rPr>
          <w:sz w:val="20"/>
          <w:szCs w:val="20"/>
          <w:color w:val="auto"/>
        </w:rPr>
      </w:pPr>
    </w:p>
    <w:p>
      <w:pPr>
        <w:ind w:left="420"/>
        <w:spacing w:after="0" w:line="266" w:lineRule="auto"/>
        <w:rPr>
          <w:sz w:val="20"/>
          <w:szCs w:val="20"/>
          <w:color w:val="auto"/>
        </w:rPr>
      </w:pPr>
      <w:r>
        <w:rPr>
          <w:rFonts w:ascii="Times New Roman" w:cs="Times New Roman" w:eastAsia="Times New Roman" w:hAnsi="Times New Roman"/>
          <w:sz w:val="17"/>
          <w:szCs w:val="17"/>
          <w:color w:val="auto"/>
        </w:rPr>
        <w:t>Under The Rules Governing the Listing of Securities on The Stock Exchange of Hong Kong Limited (including the Model Code for Securities Transactions by Directors of Listed Issuers) and the Securities and Futures Ordinance of Hong Kong, anyone in possession of inside information of Hong Kong listed securities is prohibited from trading the securities. Any director, officer and employee of the Company or its subsidiaries who have inside information about Melco International or its listed subsidiaries (including the Company) and/or their respective listed securities, should refrain from dealing in all those securities.</w:t>
      </w:r>
    </w:p>
    <w:p>
      <w:pPr>
        <w:spacing w:after="0" w:line="67" w:lineRule="exact"/>
        <w:rPr>
          <w:sz w:val="20"/>
          <w:szCs w:val="20"/>
          <w:color w:val="auto"/>
        </w:rPr>
      </w:pPr>
    </w:p>
    <w:p>
      <w:pPr>
        <w:ind w:left="420"/>
        <w:spacing w:after="0" w:line="266" w:lineRule="auto"/>
        <w:rPr>
          <w:sz w:val="20"/>
          <w:szCs w:val="20"/>
          <w:color w:val="auto"/>
        </w:rPr>
      </w:pPr>
      <w:r>
        <w:rPr>
          <w:rFonts w:ascii="Times New Roman" w:cs="Times New Roman" w:eastAsia="Times New Roman" w:hAnsi="Times New Roman"/>
          <w:sz w:val="17"/>
          <w:szCs w:val="17"/>
          <w:color w:val="auto"/>
        </w:rPr>
        <w:t>For compliance purposes, a Relevant Person (except those who are already subject to trade pre-approval requirement imposed by Melco International) intending to deal in the listed securities of Melco International is required to seek pre-clearance, and shall submit a “Request for Approval of Personal Securities Transaction (Listed Securities of Melco International Development Ltd.)” in a form designated or approved by the CLO from time to time (Form IV) via email address. A Relevant Person is not eligible to make the pre-clearance application at any time Melco International’s blackout periods are in force, unless otherwise permitted by applicable securities laws or this Policy.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40"/>
          </w:cols>
          <w:pgMar w:left="620" w:top="264" w:right="6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VIII. Section 16 Reporting Obligations (Applicable to Directors, Officers and their Controlled Entities)</w:t>
      </w:r>
    </w:p>
    <w:p>
      <w:pPr>
        <w:spacing w:after="0" w:line="120" w:lineRule="exact"/>
        <w:rPr>
          <w:sz w:val="20"/>
          <w:szCs w:val="20"/>
          <w:color w:val="auto"/>
        </w:rPr>
      </w:pPr>
    </w:p>
    <w:p>
      <w:pPr>
        <w:ind w:left="420" w:right="60"/>
        <w:spacing w:after="0" w:line="269" w:lineRule="auto"/>
        <w:rPr>
          <w:sz w:val="20"/>
          <w:szCs w:val="20"/>
          <w:color w:val="auto"/>
        </w:rPr>
      </w:pPr>
      <w:r>
        <w:rPr>
          <w:rFonts w:ascii="Times New Roman" w:cs="Times New Roman" w:eastAsia="Times New Roman" w:hAnsi="Times New Roman"/>
          <w:sz w:val="17"/>
          <w:szCs w:val="17"/>
          <w:color w:val="auto"/>
        </w:rPr>
        <w:t>With effect from March 18, 2026, Section 16(a) of the Securities Exchange Act and the related rules of the SEC require directors, officers (which, for this Section VIII, includes the principal accounting officer) of a foreign private issuer, subject to the Securities Exchange Act, to report their ownership and all transactions involving the Company’s equity securities (including ADSs and all other derivative securities, including options, restricted shares, warrants and restricted share units (“RSUs”)) to the SEC on the following forms:</w:t>
      </w:r>
    </w:p>
    <w:p>
      <w:pPr>
        <w:spacing w:after="0" w:line="74" w:lineRule="exact"/>
        <w:rPr>
          <w:sz w:val="20"/>
          <w:szCs w:val="20"/>
          <w:color w:val="auto"/>
        </w:rPr>
      </w:pPr>
    </w:p>
    <w:p>
      <w:pPr>
        <w:ind w:left="940" w:right="140" w:hanging="425"/>
        <w:spacing w:after="0" w:line="271" w:lineRule="auto"/>
        <w:tabs>
          <w:tab w:leader="none" w:pos="9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 3 </w:t>
      </w:r>
      <w:r>
        <w:rPr>
          <w:rFonts w:ascii="Times New Roman" w:cs="Times New Roman" w:eastAsia="Times New Roman" w:hAnsi="Times New Roman"/>
          <w:sz w:val="17"/>
          <w:szCs w:val="17"/>
          <w:color w:val="auto"/>
        </w:rPr>
        <w:t>must be filed when a person first becomes subject to Section 16. The Form 3 requires the reporting person to list all holdings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ordinary shares, ADSs, options, RSUs and other “derivative securities.” For the Company’s directors and officers as of March 18, 2026, the Form 3 must be filed no later than that date. New directors and officers must electronically file Form 3 with the SEC within ten (10) calendar days after becoming an officer or director.</w:t>
      </w:r>
    </w:p>
    <w:p>
      <w:pPr>
        <w:spacing w:after="0" w:line="71" w:lineRule="exact"/>
        <w:rPr>
          <w:rFonts w:ascii="Times New Roman" w:cs="Times New Roman" w:eastAsia="Times New Roman" w:hAnsi="Times New Roman"/>
          <w:sz w:val="17"/>
          <w:szCs w:val="17"/>
          <w:color w:val="auto"/>
        </w:rPr>
      </w:pPr>
    </w:p>
    <w:p>
      <w:pPr>
        <w:ind w:left="940" w:hanging="425"/>
        <w:spacing w:after="0" w:line="267" w:lineRule="auto"/>
        <w:tabs>
          <w:tab w:leader="none" w:pos="9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 4 </w:t>
      </w:r>
      <w:r>
        <w:rPr>
          <w:rFonts w:ascii="Times New Roman" w:cs="Times New Roman" w:eastAsia="Times New Roman" w:hAnsi="Times New Roman"/>
          <w:sz w:val="17"/>
          <w:szCs w:val="17"/>
          <w:color w:val="auto"/>
        </w:rPr>
        <w:t>must be filed whenever there is a change in the beneficial ownership of the Company’s securities, including acquisitions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dispositions (including dispositions by gift) of Company ordinary shares (including ADSs) or any derivative security of the Company, such as options, restricted shares, warrants or RSUs. In certain circumstances, changes in the nature of the reporting person’s ownership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from direct to indirect) must be reported on a Form 4. </w:t>
      </w:r>
      <w:r>
        <w:rPr>
          <w:rFonts w:ascii="Times New Roman" w:cs="Times New Roman" w:eastAsia="Times New Roman" w:hAnsi="Times New Roman"/>
          <w:sz w:val="17"/>
          <w:szCs w:val="17"/>
          <w:b w:val="1"/>
          <w:bCs w:val="1"/>
          <w:i w:val="1"/>
          <w:iCs w:val="1"/>
          <w:color w:val="auto"/>
        </w:rPr>
        <w:t>Option grants and exercises and restricted share grants also must be reported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Form 4</w:t>
      </w:r>
      <w:r>
        <w:rPr>
          <w:rFonts w:ascii="Times New Roman" w:cs="Times New Roman" w:eastAsia="Times New Roman" w:hAnsi="Times New Roman"/>
          <w:sz w:val="17"/>
          <w:szCs w:val="17"/>
          <w:color w:val="auto"/>
        </w:rPr>
        <w:t>. Form 4 must be electronically filed with the SEC no later than the second business day after a change in beneficial ownership.</w:t>
      </w:r>
    </w:p>
    <w:p>
      <w:pPr>
        <w:spacing w:after="0" w:line="75" w:lineRule="exact"/>
        <w:rPr>
          <w:rFonts w:ascii="Times New Roman" w:cs="Times New Roman" w:eastAsia="Times New Roman" w:hAnsi="Times New Roman"/>
          <w:sz w:val="17"/>
          <w:szCs w:val="17"/>
          <w:color w:val="auto"/>
        </w:rPr>
      </w:pPr>
    </w:p>
    <w:p>
      <w:pPr>
        <w:ind w:left="940" w:right="380" w:hanging="425"/>
        <w:spacing w:after="0" w:line="278" w:lineRule="auto"/>
        <w:tabs>
          <w:tab w:leader="none" w:pos="94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 5 </w:t>
      </w:r>
      <w:r>
        <w:rPr>
          <w:rFonts w:ascii="Times New Roman" w:cs="Times New Roman" w:eastAsia="Times New Roman" w:hAnsi="Times New Roman"/>
          <w:sz w:val="17"/>
          <w:szCs w:val="17"/>
          <w:color w:val="auto"/>
        </w:rPr>
        <w:t>must be filed each year (within 45 days after the end of the Company’s fiscal year) to report certain exempt transactions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failures to file previously due reports, if any. The types of exempt transactions eligible for deferred reporting on Form 5 are extremely limited.</w:t>
      </w:r>
    </w:p>
    <w:p>
      <w:pPr>
        <w:spacing w:after="0" w:line="57" w:lineRule="exact"/>
        <w:rPr>
          <w:sz w:val="20"/>
          <w:szCs w:val="20"/>
          <w:color w:val="auto"/>
        </w:rPr>
      </w:pPr>
    </w:p>
    <w:p>
      <w:pPr>
        <w:ind w:left="420" w:right="120"/>
        <w:spacing w:after="0" w:line="262" w:lineRule="auto"/>
        <w:rPr>
          <w:sz w:val="20"/>
          <w:szCs w:val="20"/>
          <w:color w:val="auto"/>
        </w:rPr>
      </w:pPr>
      <w:r>
        <w:rPr>
          <w:rFonts w:ascii="Times New Roman" w:cs="Times New Roman" w:eastAsia="Times New Roman" w:hAnsi="Times New Roman"/>
          <w:sz w:val="17"/>
          <w:szCs w:val="17"/>
          <w:color w:val="auto"/>
        </w:rPr>
        <w:t xml:space="preserve">The requirement extends to transactions by certain of your Family Members sharing your household, and transactions in which you have an indirect interest (such as transactions by trusts, corporations or partnerships in which you have or share control) and applies not only to open-market and privately-negotiated purchases and sales, but also to option grants and other share incentive plan transactions. In addition, any transaction (including the quantity and price) made by you (or on your behalf) pursuant to a 10b5-1 Trading Plan must be reported to the Equity Administration team by you or your trading plan broker promptly on the day of each trade. The SEC requires all Section 16 filings to be made through EDGAR, which is the SEC’s electronic filing system. The Legal Department can assist you with the electronic filing procedures. Due to the two (2) business days filing deadline after a change in beneficial ownership, it is essential that you respond promptly to the Company’s Legal Department. </w:t>
      </w:r>
      <w:r>
        <w:rPr>
          <w:rFonts w:ascii="Times New Roman" w:cs="Times New Roman" w:eastAsia="Times New Roman" w:hAnsi="Times New Roman"/>
          <w:sz w:val="17"/>
          <w:szCs w:val="17"/>
          <w:b w:val="1"/>
          <w:bCs w:val="1"/>
          <w:color w:val="auto"/>
        </w:rPr>
        <w:t>Failure to report your trades on time could prevent the preparation and filing of your required Section 16 report on time.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40"/>
          </w:cols>
          <w:pgMar w:left="620" w:top="262" w:right="639" w:bottom="1440" w:gutter="0" w:footer="0" w:header="0"/>
        </w:sectPr>
      </w:pPr>
    </w:p>
    <w:bookmarkStart w:id="399" w:name="page400"/>
    <w:bookmarkEnd w:id="399"/>
    <w:p>
      <w:pPr>
        <w:ind w:left="420" w:right="16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Regardless of whether you or the Company prepares and files your Section 16 reports, it is your legal obligation, not the Company’s, to make all required filings. The consequences of filing a late report or not filing a required report can be significant:</w:t>
      </w:r>
    </w:p>
    <w:p>
      <w:pPr>
        <w:spacing w:after="0" w:line="55" w:lineRule="exact"/>
        <w:rPr>
          <w:sz w:val="20"/>
          <w:szCs w:val="20"/>
          <w:color w:val="auto"/>
        </w:rPr>
      </w:pPr>
    </w:p>
    <w:p>
      <w:pPr>
        <w:ind w:left="940" w:hanging="425"/>
        <w:spacing w:after="0"/>
        <w:tabs>
          <w:tab w:leader="none" w:pos="94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be required to pay substantial fines for each filing violation and may cause substantial fines to be levied on the Company.</w:t>
      </w:r>
    </w:p>
    <w:p>
      <w:pPr>
        <w:spacing w:after="0" w:line="131" w:lineRule="exact"/>
        <w:rPr>
          <w:rFonts w:ascii="Times New Roman" w:cs="Times New Roman" w:eastAsia="Times New Roman" w:hAnsi="Times New Roman"/>
          <w:sz w:val="17"/>
          <w:szCs w:val="17"/>
          <w:color w:val="auto"/>
        </w:rPr>
      </w:pPr>
    </w:p>
    <w:p>
      <w:pPr>
        <w:ind w:left="940" w:hanging="425"/>
        <w:spacing w:after="0"/>
        <w:tabs>
          <w:tab w:leader="none" w:pos="94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be subject to an SEC “cease and desist” order.</w:t>
      </w:r>
    </w:p>
    <w:p>
      <w:pPr>
        <w:spacing w:after="0" w:line="131" w:lineRule="exact"/>
        <w:rPr>
          <w:rFonts w:ascii="Times New Roman" w:cs="Times New Roman" w:eastAsia="Times New Roman" w:hAnsi="Times New Roman"/>
          <w:sz w:val="17"/>
          <w:szCs w:val="17"/>
          <w:color w:val="auto"/>
        </w:rPr>
      </w:pPr>
    </w:p>
    <w:p>
      <w:pPr>
        <w:ind w:left="940" w:hanging="425"/>
        <w:spacing w:after="0"/>
        <w:tabs>
          <w:tab w:leader="none" w:pos="94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failures to file can be, and occasionally have been, prosecuted as a criminal violation of U.S. federal securities laws.</w:t>
      </w:r>
    </w:p>
    <w:p>
      <w:pPr>
        <w:spacing w:after="0" w:line="118" w:lineRule="exact"/>
        <w:rPr>
          <w:sz w:val="20"/>
          <w:szCs w:val="20"/>
          <w:color w:val="auto"/>
        </w:rPr>
      </w:pPr>
    </w:p>
    <w:p>
      <w:pPr>
        <w:ind w:left="420" w:right="100"/>
        <w:spacing w:after="0" w:line="266" w:lineRule="auto"/>
        <w:rPr>
          <w:sz w:val="20"/>
          <w:szCs w:val="20"/>
          <w:color w:val="auto"/>
        </w:rPr>
      </w:pPr>
      <w:r>
        <w:rPr>
          <w:rFonts w:ascii="Times New Roman" w:cs="Times New Roman" w:eastAsia="Times New Roman" w:hAnsi="Times New Roman"/>
          <w:sz w:val="17"/>
          <w:szCs w:val="17"/>
          <w:color w:val="auto"/>
        </w:rPr>
        <w:t>While the Company is offering its assistance to help comply with the Section 16 rules, you should recognize that it remains your obligation to see that your filings are accurate and made on time. The Company cannot assume any legal responsibility in this regard. Under the law, if a filing is missed, you are personally responsible, notwithstanding that the Company has undertaken to prepare a required Form 3, 4 or 5 on your behalf. Please do not hesitate to contact the Legal Department if you have any questions about any proposed transaction or about Section 16 reporting requirements generally or in regard to any particular transaction.</w:t>
      </w:r>
    </w:p>
    <w:p>
      <w:pPr>
        <w:spacing w:after="0" w:line="3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IX.</w:t>
        <w:tab/>
        <w:t>Policy Review</w:t>
      </w:r>
    </w:p>
    <w:p>
      <w:pPr>
        <w:spacing w:after="0" w:line="120" w:lineRule="exact"/>
        <w:rPr>
          <w:sz w:val="20"/>
          <w:szCs w:val="20"/>
          <w:color w:val="auto"/>
        </w:rPr>
      </w:pPr>
    </w:p>
    <w:p>
      <w:pPr>
        <w:ind w:left="420"/>
        <w:spacing w:after="0" w:line="276" w:lineRule="auto"/>
        <w:rPr>
          <w:sz w:val="20"/>
          <w:szCs w:val="20"/>
          <w:color w:val="auto"/>
        </w:rPr>
      </w:pPr>
      <w:r>
        <w:rPr>
          <w:rFonts w:ascii="Times New Roman" w:cs="Times New Roman" w:eastAsia="Times New Roman" w:hAnsi="Times New Roman"/>
          <w:sz w:val="17"/>
          <w:szCs w:val="17"/>
          <w:color w:val="auto"/>
        </w:rPr>
        <w:t>After the initial approval of this Policy by the Board, the NCGC has been delegated authority and responsibility from the Board to review and amend this Policy, when and where appropriate, in order to ensure its effectiveness. Upon any approval of an amendment of this Policy, the NCGC shall report such approval and amendment to the Board.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620" w:top="265" w:right="61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Issue No. 24</w:t>
      </w:r>
    </w:p>
    <w:p>
      <w:pPr>
        <w:sectPr>
          <w:pgSz w:w="11900" w:h="16838" w:orient="portrait"/>
          <w:cols w:equalWidth="0" w:num="1">
            <w:col w:w="10660"/>
          </w:cols>
          <w:pgMar w:left="620" w:top="262" w:right="61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Approved by: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18" w:lineRule="exact"/>
        <w:rPr>
          <w:sz w:val="20"/>
          <w:szCs w:val="20"/>
          <w:color w:val="auto"/>
        </w:rPr>
      </w:pPr>
    </w:p>
    <w:p>
      <w:pPr>
        <w:sectPr>
          <w:pgSz w:w="11900" w:h="16838" w:orient="portrait"/>
          <w:cols w:equalWidth="0" w:num="2">
            <w:col w:w="1020" w:space="480"/>
            <w:col w:w="9160"/>
          </w:cols>
          <w:pgMar w:left="620" w:top="262"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Approval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February 23, 2026</w:t>
      </w:r>
    </w:p>
    <w:p>
      <w:pPr>
        <w:spacing w:after="0" w:line="200" w:lineRule="exact"/>
        <w:rPr>
          <w:sz w:val="20"/>
          <w:szCs w:val="20"/>
          <w:color w:val="auto"/>
        </w:rPr>
      </w:pPr>
    </w:p>
    <w:p>
      <w:pPr>
        <w:sectPr>
          <w:pgSz w:w="11900" w:h="16838" w:orient="portrait"/>
          <w:cols w:equalWidth="0" w:num="2">
            <w:col w:w="1140" w:space="360"/>
            <w:col w:w="9160"/>
          </w:cols>
          <w:pgMar w:left="620" w:top="262" w:right="6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to be a true copy by Senior Vice President, Group Corporate General Counsel</w:t>
      </w:r>
    </w:p>
    <w:p>
      <w:pPr>
        <w:spacing w:after="0" w:line="2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color w:val="auto"/>
        </w:rPr>
        <w:t>Signature :</w:t>
        <w:tab/>
        <w:t>/s/ Tim Sung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20320</wp:posOffset>
            </wp:positionV>
            <wp:extent cx="21412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5">
                      <a:extLst>
                        <a:ext uri="{28A0092B-C50C-407E-A947-70E740481C1C}"/>
                      </a:extLst>
                    </a:blip>
                    <a:srcRect/>
                    <a:stretch>
                      <a:fillRect/>
                    </a:stretch>
                  </pic:blipFill>
                  <pic:spPr bwMode="auto">
                    <a:xfrm>
                      <a:off x="0" y="0"/>
                      <a:ext cx="214122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REVISION HISTORY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ISSUE</w:t>
            </w:r>
          </w:p>
        </w:tc>
        <w:tc>
          <w:tcPr>
            <w:tcW w:w="140" w:type="dxa"/>
            <w:vAlign w:val="bottom"/>
          </w:tcPr>
          <w:p>
            <w:pPr>
              <w:spacing w:after="0"/>
              <w:rPr>
                <w:sz w:val="16"/>
                <w:szCs w:val="16"/>
                <w:color w:val="auto"/>
              </w:rPr>
            </w:pPr>
          </w:p>
        </w:tc>
        <w:tc>
          <w:tcPr>
            <w:tcW w:w="20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120" w:type="dxa"/>
            <w:vAlign w:val="bottom"/>
          </w:tcPr>
          <w:p>
            <w:pPr>
              <w:spacing w:after="0"/>
              <w:rPr>
                <w:sz w:val="16"/>
                <w:szCs w:val="16"/>
                <w:color w:val="auto"/>
              </w:rPr>
            </w:pPr>
          </w:p>
        </w:tc>
        <w:tc>
          <w:tcPr>
            <w:tcW w:w="19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APPROVED BY</w:t>
            </w:r>
          </w:p>
        </w:tc>
        <w:tc>
          <w:tcPr>
            <w:tcW w:w="100" w:type="dxa"/>
            <w:vAlign w:val="bottom"/>
          </w:tcPr>
          <w:p>
            <w:pPr>
              <w:spacing w:after="0"/>
              <w:rPr>
                <w:sz w:val="16"/>
                <w:szCs w:val="16"/>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PAGES REVISED</w:t>
            </w: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WORD</w:t>
            </w:r>
          </w:p>
        </w:tc>
        <w:tc>
          <w:tcPr>
            <w:tcW w:w="1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EXECUTED PDF</w:t>
            </w:r>
          </w:p>
        </w:tc>
      </w:tr>
      <w:tr>
        <w:trPr>
          <w:trHeight w:val="21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8"/>
                <w:szCs w:val="18"/>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November 1, 2010</w:t>
            </w: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NCGC</w:t>
            </w: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1, 3, 6, 8, 11 and 12</w:t>
            </w: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77"/>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September29, 2011</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1, 2, 3, 4, 5, 6,</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8, 9, 10 &amp;</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Attachment II</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March 16, 2012</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1, 2, 3, 4, 5, 6, 8,</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10, 11, 12,</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14, Attachment II</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and III</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November 27, 2012</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1, 6, 7, 8, 9, 10, 11,</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17 &amp; 18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3, 2013</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1, 2, 3, 4, 5, 6, 7, 8,</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9, 11, 12,</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13, 14, 16, 17, 19,</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20, 21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1, 2014</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16, 21</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May 19, 2015</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1, 2 &amp; 5 – 20</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May 13, 2016</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1 – 8, 12, 14 – 17,</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19 – 23, 27</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- 34</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July 28, 2016</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2, 7, 15-17</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August 1, 2016</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March 17, 2017</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6-8, 13, 15, 18,</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HK/0005606v12.17</w:t>
            </w:r>
          </w:p>
        </w:tc>
        <w:tc>
          <w:tcPr>
            <w:tcW w:w="19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19, 26-28,</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March 24, 2017</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1, 4, 6, 9, 14, 19</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HK/0005606v13.0</w:t>
            </w:r>
          </w:p>
        </w:tc>
        <w:tc>
          <w:tcPr>
            <w:tcW w:w="1920" w:type="dxa"/>
            <w:vAlign w:val="bottom"/>
          </w:tcPr>
          <w:p>
            <w:pPr>
              <w:spacing w:after="0"/>
              <w:rPr>
                <w:sz w:val="24"/>
                <w:szCs w:val="24"/>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June 30, 2017</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1-3, 5-9, 14, 16-19,</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HK/0005606v13.7</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3460-0696-8841, v.1</w:t>
            </w: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21-22, 27-28, 36</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53"/>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gridSpan w:val="2"/>
          </w:tcPr>
          <w:p>
            <w:pPr>
              <w:jc w:val="right"/>
              <w:ind w:right="1142"/>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0660"/>
          </w:cols>
          <w:pgMar w:left="620" w:top="262" w:right="619" w:bottom="1440" w:gutter="0" w:footer="0" w:header="0"/>
          <w:type w:val="continuous"/>
        </w:sectPr>
      </w:pPr>
    </w:p>
    <w:bookmarkStart w:id="401" w:name="page402"/>
    <w:bookmarkEnd w:id="4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ISSUE</w:t>
            </w:r>
          </w:p>
        </w:tc>
        <w:tc>
          <w:tcPr>
            <w:tcW w:w="140" w:type="dxa"/>
            <w:vAlign w:val="bottom"/>
          </w:tcPr>
          <w:p>
            <w:pPr>
              <w:spacing w:after="0"/>
              <w:rPr>
                <w:sz w:val="16"/>
                <w:szCs w:val="16"/>
                <w:color w:val="auto"/>
              </w:rPr>
            </w:pPr>
          </w:p>
        </w:tc>
        <w:tc>
          <w:tcPr>
            <w:tcW w:w="20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120" w:type="dxa"/>
            <w:vAlign w:val="bottom"/>
          </w:tcPr>
          <w:p>
            <w:pPr>
              <w:spacing w:after="0"/>
              <w:rPr>
                <w:sz w:val="16"/>
                <w:szCs w:val="16"/>
                <w:color w:val="auto"/>
              </w:rPr>
            </w:pPr>
          </w:p>
        </w:tc>
        <w:tc>
          <w:tcPr>
            <w:tcW w:w="19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APPROVED BY</w:t>
            </w:r>
          </w:p>
        </w:tc>
        <w:tc>
          <w:tcPr>
            <w:tcW w:w="100" w:type="dxa"/>
            <w:vAlign w:val="bottom"/>
          </w:tcPr>
          <w:p>
            <w:pPr>
              <w:spacing w:after="0"/>
              <w:rPr>
                <w:sz w:val="16"/>
                <w:szCs w:val="16"/>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PAGES REVISED</w:t>
            </w: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WORD</w:t>
            </w:r>
          </w:p>
        </w:tc>
        <w:tc>
          <w:tcPr>
            <w:tcW w:w="1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EXECUTED PDF</w:t>
            </w:r>
          </w:p>
        </w:tc>
      </w:tr>
      <w:tr>
        <w:trPr>
          <w:trHeight w:val="21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18"/>
                <w:szCs w:val="18"/>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November 26, 2018</w:t>
            </w: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NCGC</w:t>
            </w: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 25-27</w:t>
            </w: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3454-9198-7978, v.5</w:t>
            </w: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3457-1009-1786, v.3</w:t>
            </w:r>
          </w:p>
        </w:tc>
      </w:tr>
      <w:tr>
        <w:trPr>
          <w:trHeight w:val="295"/>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March 14, 2019</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7-8, 25-29</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3454-9198-7978, v.10</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3457-1009-1786, v.6</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4, 2019</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1-9, 11, 13-23 &amp; 26</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3454-9198-7978, v.12</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3468-9501-7998, v.3</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1, 2020</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 5, 15, 26-31, 39</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3440-4431-3617, v.5</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3439-4765-1602, v.2</w:t>
            </w: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November 24, 2021</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1-2, 4, 6-12, 14, 17-</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3476-7900-9558, v.8</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3444-7183-0295, v.2</w:t>
            </w: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18, 20, 22, 25-30,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May 8, 2023</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All pages</w:t>
            </w: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3476-7900-9558, v.17</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3444-7183-0295, v.4</w:t>
            </w: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4, 2023</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1-3, 5-7, 9-14, 16-</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3476-7900-9558, v.19</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3444-7183-0295 v.6</w:t>
            </w: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19, 21 &amp;</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Attachment II</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9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February 23, 2026</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NCGC</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4, 6-7, 10-11, 18-</w:t>
            </w:r>
          </w:p>
        </w:tc>
        <w:tc>
          <w:tcPr>
            <w:tcW w:w="1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3476-7900-9558, v.21</w:t>
            </w: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3444-7183-0295 v.8</w:t>
            </w: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19, 21-23, 27-28,</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7"/>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53"/>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gridSpan w:val="2"/>
          </w:tcPr>
          <w:p>
            <w:pPr>
              <w:jc w:val="right"/>
              <w:ind w:right="1142"/>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0660"/>
          </w:cols>
          <w:pgMar w:left="620" w:top="258" w:right="619" w:bottom="1440" w:gutter="0" w:footer="0" w:header="0"/>
        </w:sectPr>
      </w:pPr>
    </w:p>
    <w:bookmarkStart w:id="402" w:name="page403"/>
    <w:bookmarkEnd w:id="40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page">
              <wp:posOffset>388620</wp:posOffset>
            </wp:positionH>
            <wp:positionV relativeFrom="page">
              <wp:posOffset>179705</wp:posOffset>
            </wp:positionV>
            <wp:extent cx="1617980" cy="4648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1617980" cy="464820"/>
                    </a:xfrm>
                    <a:prstGeom prst="rect">
                      <a:avLst/>
                    </a:prstGeom>
                    <a:noFill/>
                  </pic:spPr>
                </pic:pic>
              </a:graphicData>
            </a:graphic>
          </wp:anchor>
        </w:drawing>
        <w:t>SCHEDULE 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Controlled Entities</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For the purpose of this Policy, “</w:t>
      </w:r>
      <w:r>
        <w:rPr>
          <w:rFonts w:ascii="Times New Roman" w:cs="Times New Roman" w:eastAsia="Times New Roman" w:hAnsi="Times New Roman"/>
          <w:sz w:val="17"/>
          <w:szCs w:val="17"/>
          <w:b w:val="1"/>
          <w:bCs w:val="1"/>
          <w:color w:val="auto"/>
        </w:rPr>
        <w:t>Controlled Entity</w:t>
      </w:r>
      <w:r>
        <w:rPr>
          <w:rFonts w:ascii="Times New Roman" w:cs="Times New Roman" w:eastAsia="Times New Roman" w:hAnsi="Times New Roman"/>
          <w:sz w:val="17"/>
          <w:szCs w:val="17"/>
          <w:color w:val="auto"/>
        </w:rPr>
        <w:t>” means any entity which, through one or more intermediaries, is controlled by, or under common control with, a director, officer or employee (or their respective Family Members) of the Company, without giving effect to the first sentence of the third paragraph of Section I of this Policy (regarding Listed Subs). For the purpose of the definition of “Controlled Entity,” “controlled by” and “under common control with” means the possession, direct or indirect, of the power to direct or cause the direction of the management and policies of an entity, whether through ownership of voting securities, by contract or otherwise.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20"/>
          </w:cols>
          <w:pgMar w:left="620" w:top="1203" w:right="659" w:bottom="1440" w:gutter="0" w:footer="0" w:header="0"/>
        </w:sectPr>
      </w:pPr>
    </w:p>
    <w:bookmarkStart w:id="403" w:name="page404"/>
    <w:bookmarkEnd w:id="403"/>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page">
              <wp:posOffset>388620</wp:posOffset>
            </wp:positionH>
            <wp:positionV relativeFrom="page">
              <wp:posOffset>179705</wp:posOffset>
            </wp:positionV>
            <wp:extent cx="1593215" cy="4565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1593215" cy="456565"/>
                    </a:xfrm>
                    <a:prstGeom prst="rect">
                      <a:avLst/>
                    </a:prstGeom>
                    <a:noFill/>
                  </pic:spPr>
                </pic:pic>
              </a:graphicData>
            </a:graphic>
          </wp:anchor>
        </w:drawing>
        <w:t>SCHEDULE 2</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u w:val="single" w:color="auto"/>
          <w:color w:val="auto"/>
        </w:rPr>
        <w:t>Part 1 - Rule 10b5-1 Trading Plans</w:t>
      </w:r>
    </w:p>
    <w:p>
      <w:pPr>
        <w:spacing w:after="0" w:line="251" w:lineRule="exact"/>
        <w:rPr>
          <w:sz w:val="20"/>
          <w:szCs w:val="20"/>
          <w:color w:val="auto"/>
        </w:rPr>
      </w:pPr>
    </w:p>
    <w:p>
      <w:pPr>
        <w:ind w:left="428" w:right="20" w:hanging="428"/>
        <w:spacing w:after="0" w:line="269" w:lineRule="auto"/>
        <w:tabs>
          <w:tab w:leader="none" w:pos="428"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Pre-approval</w:t>
      </w:r>
      <w:r>
        <w:rPr>
          <w:rFonts w:ascii="Times New Roman" w:cs="Times New Roman" w:eastAsia="Times New Roman" w:hAnsi="Times New Roman"/>
          <w:sz w:val="17"/>
          <w:szCs w:val="17"/>
          <w:color w:val="auto"/>
        </w:rPr>
        <w:t>. A director, officer or employee or a Controlled Entity thereof may enter into a 10b5-1 Trading Plan only when he, she or it is not in possession of material, non-public information, and only during a trading window period outside of a trading blackout period. Any such party who wishes to initiate a 10b5-1 Trading Plan is required to prepare and submit to the Authorizing Officer a request for pre-approval in a form designated or approved by the CLO from time to time (Form V).</w:t>
      </w:r>
    </w:p>
    <w:p>
      <w:pPr>
        <w:spacing w:after="0" w:line="64" w:lineRule="exact"/>
        <w:rPr>
          <w:rFonts w:ascii="Times New Roman" w:cs="Times New Roman" w:eastAsia="Times New Roman" w:hAnsi="Times New Roman"/>
          <w:sz w:val="17"/>
          <w:szCs w:val="17"/>
          <w:color w:val="auto"/>
        </w:rPr>
      </w:pPr>
    </w:p>
    <w:p>
      <w:pPr>
        <w:ind w:left="428"/>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Policy, the initiation of, and any modification to, any such 10b5-1 Trading Plan will be deemed to be a transaction in Company Securities, and such initiation or modification is subject to all limitations and prohibitions relating to transactions in Company Securities under this Policy. Each such 10b5-1 Trading Plan, and any modification thereof, must be submitted to and pre-approved as follows:</w:t>
      </w:r>
    </w:p>
    <w:p>
      <w:pPr>
        <w:spacing w:after="0" w:line="182" w:lineRule="exact"/>
        <w:rPr>
          <w:sz w:val="20"/>
          <w:szCs w:val="20"/>
          <w:color w:val="auto"/>
        </w:rPr>
      </w:pPr>
    </w:p>
    <w:tbl>
      <w:tblPr>
        <w:tblLayout w:type="fixed"/>
        <w:tblInd w:w="428" w:type="dxa"/>
        <w:tblCellMar>
          <w:top w:w="0" w:type="dxa"/>
          <w:left w:w="0" w:type="dxa"/>
          <w:bottom w:w="0" w:type="dxa"/>
          <w:right w:w="0" w:type="dxa"/>
        </w:tblCellMar>
      </w:tblPr>
      <w:tr>
        <w:trPr>
          <w:trHeight w:val="168"/>
        </w:trPr>
        <w:tc>
          <w:tcPr>
            <w:tcW w:w="22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Initiator</w:t>
            </w: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Authorizing Officer</w:t>
            </w:r>
          </w:p>
        </w:tc>
        <w:tc>
          <w:tcPr>
            <w:tcW w:w="1580" w:type="dxa"/>
            <w:vAlign w:val="bottom"/>
          </w:tcPr>
          <w:p>
            <w:pPr>
              <w:spacing w:after="0"/>
              <w:rPr>
                <w:sz w:val="14"/>
                <w:szCs w:val="14"/>
                <w:color w:val="auto"/>
              </w:rPr>
            </w:pPr>
          </w:p>
        </w:tc>
      </w:tr>
      <w:tr>
        <w:trPr>
          <w:trHeight w:val="220"/>
        </w:trPr>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Any officer or employee or Controlled</w:t>
            </w:r>
          </w:p>
        </w:tc>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Entity thereof</w:t>
            </w:r>
          </w:p>
        </w:tc>
        <w:tc>
          <w:tcPr>
            <w:tcW w:w="52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CLO or GCGC or a Company Counsel</w:t>
            </w:r>
          </w:p>
        </w:tc>
      </w:tr>
      <w:tr>
        <w:trPr>
          <w:trHeight w:val="295"/>
        </w:trPr>
        <w:tc>
          <w:tcPr>
            <w:tcW w:w="4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CLO</w:t>
            </w:r>
          </w:p>
        </w:tc>
        <w:tc>
          <w:tcPr>
            <w:tcW w:w="52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Chairperson of the NCGC, CEO or CFO</w:t>
            </w:r>
          </w:p>
        </w:tc>
      </w:tr>
      <w:tr>
        <w:trPr>
          <w:trHeight w:val="296"/>
        </w:trPr>
        <w:tc>
          <w:tcPr>
            <w:tcW w:w="4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Director or Controlled Entity thereof</w:t>
            </w:r>
          </w:p>
        </w:tc>
        <w:tc>
          <w:tcPr>
            <w:tcW w:w="5240" w:type="dxa"/>
            <w:vAlign w:val="bottom"/>
            <w:gridSpan w:val="3"/>
          </w:tcPr>
          <w:p>
            <w:pPr>
              <w:ind w:left="700"/>
              <w:spacing w:after="0" w:line="296" w:lineRule="exact"/>
              <w:rPr>
                <w:sz w:val="20"/>
                <w:szCs w:val="20"/>
                <w:color w:val="auto"/>
              </w:rPr>
            </w:pPr>
            <w:r>
              <w:rPr>
                <w:rFonts w:ascii="Times New Roman" w:cs="Times New Roman" w:eastAsia="Times New Roman" w:hAnsi="Times New Roman"/>
                <w:sz w:val="17"/>
                <w:szCs w:val="17"/>
                <w:color w:val="auto"/>
              </w:rPr>
              <w:t xml:space="preserve">Designated Director </w:t>
            </w:r>
            <w:r>
              <w:rPr>
                <w:rFonts w:ascii="Times New Roman" w:cs="Times New Roman" w:eastAsia="Times New Roman" w:hAnsi="Times New Roman"/>
                <w:sz w:val="26"/>
                <w:szCs w:val="26"/>
                <w:color w:val="auto"/>
                <w:vertAlign w:val="superscript"/>
              </w:rPr>
              <w:t>3</w:t>
            </w:r>
          </w:p>
        </w:tc>
      </w:tr>
      <w:tr>
        <w:trPr>
          <w:trHeight w:val="227"/>
        </w:trPr>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following a review by the CLO or GCGC or a Company Counsel</w:t>
            </w:r>
          </w:p>
        </w:tc>
      </w:tr>
    </w:tbl>
    <w:p>
      <w:pPr>
        <w:spacing w:after="0" w:line="97" w:lineRule="exact"/>
        <w:rPr>
          <w:sz w:val="20"/>
          <w:szCs w:val="20"/>
          <w:color w:val="auto"/>
        </w:rPr>
      </w:pPr>
    </w:p>
    <w:p>
      <w:pPr>
        <w:ind w:left="428" w:right="140"/>
        <w:spacing w:after="0" w:line="298" w:lineRule="auto"/>
        <w:rPr>
          <w:sz w:val="20"/>
          <w:szCs w:val="20"/>
          <w:color w:val="auto"/>
        </w:rPr>
      </w:pPr>
      <w:r>
        <w:rPr>
          <w:rFonts w:ascii="Times New Roman" w:cs="Times New Roman" w:eastAsia="Times New Roman" w:hAnsi="Times New Roman"/>
          <w:sz w:val="17"/>
          <w:szCs w:val="17"/>
          <w:color w:val="auto"/>
        </w:rPr>
        <w:t>The Relevant Persons designated above for pre-approval are the “</w:t>
      </w:r>
      <w:r>
        <w:rPr>
          <w:rFonts w:ascii="Times New Roman" w:cs="Times New Roman" w:eastAsia="Times New Roman" w:hAnsi="Times New Roman"/>
          <w:sz w:val="17"/>
          <w:szCs w:val="17"/>
          <w:b w:val="1"/>
          <w:bCs w:val="1"/>
          <w:color w:val="auto"/>
        </w:rPr>
        <w:t>Authorizing Officer.</w:t>
      </w:r>
      <w:r>
        <w:rPr>
          <w:rFonts w:ascii="Times New Roman" w:cs="Times New Roman" w:eastAsia="Times New Roman" w:hAnsi="Times New Roman"/>
          <w:sz w:val="17"/>
          <w:szCs w:val="17"/>
          <w:color w:val="auto"/>
        </w:rPr>
        <w:t>” An Authorizing Officer may impose such conditions on the implementation and operation of a 10b5-1 Trading Plan as the Authorizing Officer deems necessary or advisable.</w:t>
      </w:r>
    </w:p>
    <w:p>
      <w:pPr>
        <w:spacing w:after="0" w:line="39" w:lineRule="exact"/>
        <w:rPr>
          <w:sz w:val="20"/>
          <w:szCs w:val="20"/>
          <w:color w:val="auto"/>
        </w:rPr>
      </w:pPr>
    </w:p>
    <w:p>
      <w:pPr>
        <w:ind w:left="428" w:right="160"/>
        <w:spacing w:after="0" w:line="295" w:lineRule="auto"/>
        <w:rPr>
          <w:sz w:val="20"/>
          <w:szCs w:val="20"/>
          <w:color w:val="auto"/>
        </w:rPr>
      </w:pPr>
      <w:r>
        <w:rPr>
          <w:rFonts w:ascii="Times New Roman" w:cs="Times New Roman" w:eastAsia="Times New Roman" w:hAnsi="Times New Roman"/>
          <w:sz w:val="17"/>
          <w:szCs w:val="17"/>
          <w:color w:val="auto"/>
        </w:rPr>
        <w:t>Compliance of the 10b5-1 Trading Plan with the terms of Rule 10b5-1 and the execution of transactions pursuant to the 10b5-1 Trading Plan are the sole responsibility of the person initiating the 10b5-1 Trading Plan, not the Company or the Authorizing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467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1">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29" w:lineRule="exact"/>
        <w:rPr>
          <w:sz w:val="20"/>
          <w:szCs w:val="20"/>
          <w:color w:val="auto"/>
        </w:rPr>
      </w:pPr>
    </w:p>
    <w:p>
      <w:pPr>
        <w:ind w:left="208" w:hanging="208"/>
        <w:spacing w:after="0"/>
        <w:tabs>
          <w:tab w:leader="none" w:pos="208" w:val="left"/>
        </w:tabs>
        <w:numPr>
          <w:ilvl w:val="0"/>
          <w:numId w:val="2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Defined in Part VI.A.(c) of this Policy.</w:t>
      </w:r>
    </w:p>
    <w:p>
      <w:pPr>
        <w:spacing w:after="0" w:line="1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48"/>
          </w:cols>
          <w:pgMar w:left="612" w:top="1190" w:right="639" w:bottom="1440" w:gutter="0" w:footer="0" w:header="0"/>
        </w:sectPr>
      </w:pPr>
    </w:p>
    <w:bookmarkStart w:id="404" w:name="page405"/>
    <w:bookmarkEnd w:id="404"/>
    <w:p>
      <w:pPr>
        <w:ind w:left="428" w:right="60" w:hanging="428"/>
        <w:spacing w:after="0" w:line="264" w:lineRule="auto"/>
        <w:tabs>
          <w:tab w:leader="none" w:pos="428"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Suspension, Discontinuation and Prohibition</w:t>
      </w:r>
      <w:r>
        <w:rPr>
          <w:rFonts w:ascii="Times New Roman" w:cs="Times New Roman" w:eastAsia="Times New Roman" w:hAnsi="Times New Roman"/>
          <w:sz w:val="17"/>
          <w:szCs w:val="17"/>
          <w:color w:val="auto"/>
        </w:rPr>
        <w:t>. The Company reserves the right from time to time to suspend, discontinue or otherwise prohibit any transaction in Company Securities, even pursuant to a previously approved 10b5-1 Trading Plan, if the Authorizing Officer or the Board of Directors, in its discretion, determines that such suspension, discontinuation or other prohibition is in the best interests of the Company. Any</w:t>
      </w:r>
    </w:p>
    <w:p>
      <w:pPr>
        <w:ind w:left="428"/>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10b5-1 Trading Plan submitted for approval hereunder should explicitly acknowledge the Company’s right to prohibit transactions in Company Securities. Failure to discontinue purchases and sales as directed shall constitute a violation of the terms of Section IV of this Policy and result in a loss of the exemption set forth herein.</w:t>
      </w:r>
    </w:p>
    <w:p>
      <w:pPr>
        <w:spacing w:after="0" w:line="79" w:lineRule="exact"/>
        <w:rPr>
          <w:rFonts w:ascii="Times New Roman" w:cs="Times New Roman" w:eastAsia="Times New Roman" w:hAnsi="Times New Roman"/>
          <w:sz w:val="17"/>
          <w:szCs w:val="17"/>
          <w:color w:val="auto"/>
        </w:rPr>
      </w:pPr>
    </w:p>
    <w:p>
      <w:pPr>
        <w:ind w:left="428" w:right="20" w:hanging="428"/>
        <w:spacing w:after="0" w:line="263" w:lineRule="auto"/>
        <w:tabs>
          <w:tab w:leader="none" w:pos="428"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Operation of 10b5-1 Trading Plan</w:t>
      </w:r>
      <w:r>
        <w:rPr>
          <w:rFonts w:ascii="Times New Roman" w:cs="Times New Roman" w:eastAsia="Times New Roman" w:hAnsi="Times New Roman"/>
          <w:sz w:val="17"/>
          <w:szCs w:val="17"/>
          <w:color w:val="auto"/>
        </w:rPr>
        <w:t>. Officers, directors and employees and Controlled Entities thereof may adopt 10b5-1 Trading Plans with the Company approved broker(s) that outline a pre-set plan for trading of Company Securities, including the exercise of options in accordance with the template 10b5-1 Trading Plan as designated or approved by the CLO from time to time (Form VI template). Trades pursuant to a 10b5-1 Trading Plan generally may occur at any time. However, the Company requires a Cooling-Off Period (of varying length described below) between the establishment of a 10b5-1 Trading Plan and commencement of any transactions under such plan. An individual may not have more than one outstanding 10b5-1 Trading Plan covering the same time period (subject to exceptions described below). Please review the following description of how a 10b5-1 Trading Plan works.</w:t>
      </w:r>
    </w:p>
    <w:p>
      <w:pPr>
        <w:spacing w:after="0" w:line="68"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10b5-1, an individual or entity’s purchase or sale of securities will not be “on the basis of” material, non-public information if:</w:t>
      </w:r>
    </w:p>
    <w:p>
      <w:pPr>
        <w:spacing w:after="0" w:line="131" w:lineRule="exact"/>
        <w:rPr>
          <w:rFonts w:ascii="Times New Roman" w:cs="Times New Roman" w:eastAsia="Times New Roman" w:hAnsi="Times New Roman"/>
          <w:sz w:val="17"/>
          <w:szCs w:val="17"/>
          <w:color w:val="auto"/>
        </w:rPr>
      </w:pPr>
    </w:p>
    <w:p>
      <w:pPr>
        <w:ind w:left="948" w:hanging="530"/>
        <w:spacing w:after="0" w:line="276" w:lineRule="auto"/>
        <w:tabs>
          <w:tab w:leader="none" w:pos="948"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becoming aware of any material, non-public information, the individual or entity enters into a binding contract to purchase or sell the securities, provides instructions to another person to sell the securities or adopts a written plan for trading the securities (i.e., the 10b5-1 Trading Plan).</w:t>
      </w:r>
    </w:p>
    <w:p>
      <w:pPr>
        <w:spacing w:after="0" w:line="70"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Trading Plan must either:</w:t>
      </w:r>
    </w:p>
    <w:p>
      <w:pPr>
        <w:spacing w:after="0" w:line="131" w:lineRule="exact"/>
        <w:rPr>
          <w:rFonts w:ascii="Times New Roman" w:cs="Times New Roman" w:eastAsia="Times New Roman" w:hAnsi="Times New Roman"/>
          <w:sz w:val="17"/>
          <w:szCs w:val="17"/>
          <w:color w:val="auto"/>
        </w:rPr>
      </w:pPr>
    </w:p>
    <w:p>
      <w:pPr>
        <w:ind w:left="1368" w:right="100" w:hanging="414"/>
        <w:spacing w:after="0" w:line="295" w:lineRule="auto"/>
        <w:tabs>
          <w:tab w:leader="none" w:pos="1368"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the amount of securities to be purchased or sold, the price at which the securities are to be purchased or sold and the date on which the securities are to be purchased or sold;</w:t>
      </w:r>
    </w:p>
    <w:p>
      <w:pPr>
        <w:spacing w:after="0" w:line="55" w:lineRule="exact"/>
        <w:rPr>
          <w:rFonts w:ascii="Times New Roman" w:cs="Times New Roman" w:eastAsia="Times New Roman" w:hAnsi="Times New Roman"/>
          <w:sz w:val="17"/>
          <w:szCs w:val="17"/>
          <w:color w:val="auto"/>
        </w:rPr>
      </w:pPr>
    </w:p>
    <w:p>
      <w:pPr>
        <w:ind w:left="1368" w:hanging="414"/>
        <w:spacing w:after="0"/>
        <w:tabs>
          <w:tab w:leader="none" w:pos="1368"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 written formula or computer program for determining the amount, price and date of the transactions; or</w:t>
      </w:r>
    </w:p>
    <w:p>
      <w:pPr>
        <w:spacing w:after="0" w:line="131" w:lineRule="exact"/>
        <w:rPr>
          <w:rFonts w:ascii="Times New Roman" w:cs="Times New Roman" w:eastAsia="Times New Roman" w:hAnsi="Times New Roman"/>
          <w:sz w:val="17"/>
          <w:szCs w:val="17"/>
          <w:color w:val="auto"/>
        </w:rPr>
      </w:pPr>
    </w:p>
    <w:p>
      <w:pPr>
        <w:ind w:left="1368" w:right="40" w:hanging="414"/>
        <w:spacing w:after="0" w:line="295" w:lineRule="auto"/>
        <w:tabs>
          <w:tab w:leader="none" w:pos="1368"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the individual or entity from exercising any subsequent influence over the purchase or sale of Company Securities under the 10b5-1 Trading Plan in question.</w:t>
      </w:r>
    </w:p>
    <w:p>
      <w:pPr>
        <w:spacing w:after="0" w:line="55" w:lineRule="exact"/>
        <w:rPr>
          <w:rFonts w:ascii="Times New Roman" w:cs="Times New Roman" w:eastAsia="Times New Roman" w:hAnsi="Times New Roman"/>
          <w:sz w:val="17"/>
          <w:szCs w:val="17"/>
          <w:color w:val="auto"/>
        </w:rPr>
      </w:pPr>
    </w:p>
    <w:p>
      <w:pPr>
        <w:ind w:left="948" w:right="520" w:hanging="530"/>
        <w:spacing w:after="0" w:line="295" w:lineRule="auto"/>
        <w:tabs>
          <w:tab w:leader="none" w:pos="948"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or sale must occur pursuant to the 10b5-1 Trading Plan and the individual or entity must not enter into a corresponding hedging transaction or alter or deviate from the 10b5-1 Trading Plan.</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48"/>
          </w:cols>
          <w:pgMar w:left="612" w:top="265" w:right="639" w:bottom="1440" w:gutter="0" w:footer="0" w:header="0"/>
        </w:sectPr>
      </w:pPr>
    </w:p>
    <w:bookmarkStart w:id="405" w:name="page406"/>
    <w:bookmarkEnd w:id="405"/>
    <w:p>
      <w:pPr>
        <w:ind w:left="428" w:right="400" w:hanging="428"/>
        <w:spacing w:after="0" w:line="276" w:lineRule="auto"/>
        <w:tabs>
          <w:tab w:leader="none" w:pos="428"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Good Faith</w:t>
      </w:r>
      <w:r>
        <w:rPr>
          <w:rFonts w:ascii="Times New Roman" w:cs="Times New Roman" w:eastAsia="Times New Roman" w:hAnsi="Times New Roman"/>
          <w:sz w:val="17"/>
          <w:szCs w:val="17"/>
          <w:color w:val="auto"/>
        </w:rPr>
        <w:t>. The 10b5-1 Trading Plan must be entered into in good faith and not as part of a plan or scheme to evade the prohibitions of Rule 10b5-1. The person adopting the 10b5-1 Trading Plan must also continue to act in good faith with respect to the plan for the entirety of its duration.</w:t>
      </w:r>
    </w:p>
    <w:p>
      <w:pPr>
        <w:spacing w:after="0" w:line="188" w:lineRule="exact"/>
        <w:rPr>
          <w:rFonts w:ascii="Times New Roman" w:cs="Times New Roman" w:eastAsia="Times New Roman" w:hAnsi="Times New Roman"/>
          <w:sz w:val="17"/>
          <w:szCs w:val="17"/>
          <w:color w:val="auto"/>
        </w:rPr>
      </w:pPr>
    </w:p>
    <w:p>
      <w:pPr>
        <w:ind w:left="428" w:right="160" w:hanging="428"/>
        <w:spacing w:after="0" w:line="295" w:lineRule="auto"/>
        <w:tabs>
          <w:tab w:leader="none" w:pos="428"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Cooling-Off Period</w:t>
      </w:r>
      <w:r>
        <w:rPr>
          <w:rFonts w:ascii="Times New Roman" w:cs="Times New Roman" w:eastAsia="Times New Roman" w:hAnsi="Times New Roman"/>
          <w:sz w:val="17"/>
          <w:szCs w:val="17"/>
          <w:color w:val="auto"/>
        </w:rPr>
        <w:t>. No trade made under a 10b5-1 Trading Plan can occur until the applicable date described below (the time between adoption or modification of a 10b5-1 Trading Plan and the first trade after such adoption or modification is referred to as the “</w:t>
      </w:r>
      <w:r>
        <w:rPr>
          <w:rFonts w:ascii="Times New Roman" w:cs="Times New Roman" w:eastAsia="Times New Roman" w:hAnsi="Times New Roman"/>
          <w:sz w:val="17"/>
          <w:szCs w:val="17"/>
          <w:b w:val="1"/>
          <w:bCs w:val="1"/>
          <w:color w:val="auto"/>
        </w:rPr>
        <w:t>Cooling-Off Period</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director or officer of the Company, the median of the following three dates:</w:t>
      </w:r>
    </w:p>
    <w:p>
      <w:pPr>
        <w:spacing w:after="0" w:line="131" w:lineRule="exact"/>
        <w:rPr>
          <w:rFonts w:ascii="Times New Roman" w:cs="Times New Roman" w:eastAsia="Times New Roman" w:hAnsi="Times New Roman"/>
          <w:sz w:val="17"/>
          <w:szCs w:val="17"/>
          <w:color w:val="auto"/>
        </w:rPr>
      </w:pPr>
    </w:p>
    <w:p>
      <w:pPr>
        <w:ind w:left="1368" w:hanging="414"/>
        <w:spacing w:after="0"/>
        <w:tabs>
          <w:tab w:leader="none" w:pos="1368" w:val="left"/>
        </w:tabs>
        <w:numPr>
          <w:ilvl w:val="2"/>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calendar days after adoption or modification of the 10b5-1 Trading Plan;</w:t>
      </w:r>
    </w:p>
    <w:p>
      <w:pPr>
        <w:spacing w:after="0" w:line="131" w:lineRule="exact"/>
        <w:rPr>
          <w:rFonts w:ascii="Times New Roman" w:cs="Times New Roman" w:eastAsia="Times New Roman" w:hAnsi="Times New Roman"/>
          <w:sz w:val="17"/>
          <w:szCs w:val="17"/>
          <w:color w:val="auto"/>
        </w:rPr>
      </w:pPr>
    </w:p>
    <w:p>
      <w:pPr>
        <w:ind w:left="1368" w:right="180" w:hanging="414"/>
        <w:spacing w:after="0" w:line="295" w:lineRule="auto"/>
        <w:tabs>
          <w:tab w:leader="none" w:pos="1368" w:val="left"/>
        </w:tabs>
        <w:numPr>
          <w:ilvl w:val="2"/>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business days following the filing of the Company’s financial results on a Form 6-K or 20-F for the fiscal quarter in which the 10b5-1 Trading Plan was adopted or modified; and</w:t>
      </w:r>
    </w:p>
    <w:p>
      <w:pPr>
        <w:spacing w:after="0" w:line="55" w:lineRule="exact"/>
        <w:rPr>
          <w:rFonts w:ascii="Times New Roman" w:cs="Times New Roman" w:eastAsia="Times New Roman" w:hAnsi="Times New Roman"/>
          <w:sz w:val="17"/>
          <w:szCs w:val="17"/>
          <w:color w:val="auto"/>
        </w:rPr>
      </w:pPr>
    </w:p>
    <w:p>
      <w:pPr>
        <w:ind w:left="1368" w:hanging="414"/>
        <w:spacing w:after="0"/>
        <w:tabs>
          <w:tab w:leader="none" w:pos="1368" w:val="left"/>
        </w:tabs>
        <w:numPr>
          <w:ilvl w:val="2"/>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120 calendar days after adoption or modification of the 10b5-1 Trading Plan. </w:t>
      </w:r>
      <w:r>
        <w:rPr>
          <w:rFonts w:ascii="Times New Roman" w:cs="Times New Roman" w:eastAsia="Times New Roman" w:hAnsi="Times New Roman"/>
          <w:sz w:val="26"/>
          <w:szCs w:val="26"/>
          <w:color w:val="auto"/>
          <w:vertAlign w:val="superscript"/>
        </w:rPr>
        <w:t>4</w:t>
      </w:r>
    </w:p>
    <w:p>
      <w:pPr>
        <w:spacing w:after="0" w:line="48" w:lineRule="exact"/>
        <w:rPr>
          <w:sz w:val="20"/>
          <w:szCs w:val="20"/>
          <w:color w:val="auto"/>
        </w:rPr>
      </w:pPr>
    </w:p>
    <w:p>
      <w:pPr>
        <w:ind w:left="948" w:hanging="530"/>
        <w:spacing w:after="0"/>
        <w:tabs>
          <w:tab w:leader="none" w:pos="948"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persons who are not directors or officers of the Company: 30 days after adoption of the 10b5-1 Trading Plan.</w:t>
      </w:r>
    </w:p>
    <w:p>
      <w:pPr>
        <w:spacing w:after="0" w:line="96" w:lineRule="exact"/>
        <w:rPr>
          <w:sz w:val="20"/>
          <w:szCs w:val="20"/>
          <w:color w:val="auto"/>
        </w:rPr>
      </w:pPr>
    </w:p>
    <w:p>
      <w:pPr>
        <w:ind w:left="428"/>
        <w:spacing w:after="0" w:line="267" w:lineRule="auto"/>
        <w:rPr>
          <w:sz w:val="20"/>
          <w:szCs w:val="20"/>
          <w:color w:val="auto"/>
        </w:rPr>
      </w:pPr>
      <w:r>
        <w:rPr>
          <w:rFonts w:ascii="Times New Roman" w:cs="Times New Roman" w:eastAsia="Times New Roman" w:hAnsi="Times New Roman"/>
          <w:sz w:val="17"/>
          <w:szCs w:val="17"/>
          <w:color w:val="auto"/>
        </w:rPr>
        <w:t>For the purpose of a 10b5-1 Trading Plan and subject to applicable U.S. securities laws, “</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shall mean Melco’s principal executive officer, president, principal financial officer, principal accounting officer (or, if there is no such accounting officer, the controller), head of a principal business unit, or any other officer or person who performs a policy-making function for Melco, which may include officers of Melco’s subsidiaries. Currently, such officers of Melco are the CEO, the President, the CFO, the CLO, the Chief of Staff, the Chief Accounting Officer and each other executive (VP and above) as may be designated by Melco as an officer from time to time.</w:t>
      </w:r>
    </w:p>
    <w:p>
      <w:pPr>
        <w:spacing w:after="0" w:line="78" w:lineRule="exact"/>
        <w:rPr>
          <w:sz w:val="20"/>
          <w:szCs w:val="20"/>
          <w:color w:val="auto"/>
        </w:rPr>
      </w:pPr>
    </w:p>
    <w:p>
      <w:pPr>
        <w:ind w:left="428" w:right="100" w:hanging="428"/>
        <w:spacing w:after="0" w:line="295" w:lineRule="auto"/>
        <w:tabs>
          <w:tab w:leader="none" w:pos="428"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Concurrent Plans</w:t>
      </w:r>
      <w:r>
        <w:rPr>
          <w:rFonts w:ascii="Times New Roman" w:cs="Times New Roman" w:eastAsia="Times New Roman" w:hAnsi="Times New Roman"/>
          <w:sz w:val="17"/>
          <w:szCs w:val="17"/>
          <w:color w:val="auto"/>
        </w:rPr>
        <w:t>. Multiple 10b5-1 Trading Plans which trade under the same time period are not allowed, subject to the following exceptions and clarifications:</w:t>
      </w:r>
    </w:p>
    <w:p>
      <w:pPr>
        <w:spacing w:after="0" w:line="55" w:lineRule="exact"/>
        <w:rPr>
          <w:rFonts w:ascii="Times New Roman" w:cs="Times New Roman" w:eastAsia="Times New Roman" w:hAnsi="Times New Roman"/>
          <w:sz w:val="17"/>
          <w:szCs w:val="17"/>
          <w:color w:val="auto"/>
        </w:rPr>
      </w:pPr>
    </w:p>
    <w:p>
      <w:pPr>
        <w:ind w:left="948" w:right="80" w:hanging="530"/>
        <w:spacing w:after="0" w:line="269" w:lineRule="auto"/>
        <w:tabs>
          <w:tab w:leader="none" w:pos="948"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or entity is allowed to maintain multiple 10b5-1 Trading Plans at multiple brokers, as long as the multiple 10b5-1 Trading Plans are treated as the same master plan, where a modification or termination of one plan at one broker is treated as a modification or termination of all plans at all brokers, requiring a new Cooling- Off Period before the new or modified master 10b5-1 Trading Plan begins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467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4">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23" w:lineRule="exact"/>
        <w:rPr>
          <w:sz w:val="20"/>
          <w:szCs w:val="20"/>
          <w:color w:val="auto"/>
        </w:rPr>
      </w:pPr>
    </w:p>
    <w:p>
      <w:pPr>
        <w:ind w:left="208" w:right="40" w:hanging="208"/>
        <w:spacing w:after="0" w:line="231" w:lineRule="auto"/>
        <w:tabs>
          <w:tab w:leader="none" w:pos="208" w:val="left"/>
        </w:tabs>
        <w:numPr>
          <w:ilvl w:val="0"/>
          <w:numId w:val="2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For example, if a director or officer of the Company adopted a 10b5-1 Trading Plan on March 1, 2022, the first trade under such 10b5-1 Trading Plan cannot occur until May 30, 2022, which is the median out of these three dates: (1) May 30, 2022 (90 calendar days after plan adoption); (2) May 10, 2022 (two business days following Melco’s filing of its unaudited results for first quarter of 2022 on the Form 6-K); and (3) June 29, 2022 (120 calendar days after plan adoption).</w:t>
      </w:r>
    </w:p>
    <w:p>
      <w:pPr>
        <w:spacing w:after="0" w:line="12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48"/>
          </w:cols>
          <w:pgMar w:left="612" w:top="265" w:right="639" w:bottom="1440" w:gutter="0" w:footer="0" w:header="0"/>
        </w:sectPr>
      </w:pPr>
    </w:p>
    <w:bookmarkStart w:id="406" w:name="page407"/>
    <w:bookmarkEnd w:id="406"/>
    <w:p>
      <w:pPr>
        <w:ind w:left="948" w:right="200" w:hanging="530"/>
        <w:spacing w:after="0" w:line="276" w:lineRule="auto"/>
        <w:tabs>
          <w:tab w:leader="none" w:pos="948"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10b5-1 Trading Plan may have multiple trading algorithms under the same single plan, but any modification or termination of any portion of any algorithm will be treated as a modification or termination of the entire 10b5-1 Trading Plan, requiring a new Cooling-Off Period before the new or modified 10b5-1 Trading Plan begins trading.</w:t>
      </w:r>
    </w:p>
    <w:p>
      <w:pPr>
        <w:spacing w:after="0" w:line="70" w:lineRule="exact"/>
        <w:rPr>
          <w:rFonts w:ascii="Times New Roman" w:cs="Times New Roman" w:eastAsia="Times New Roman" w:hAnsi="Times New Roman"/>
          <w:sz w:val="17"/>
          <w:szCs w:val="17"/>
          <w:color w:val="auto"/>
        </w:rPr>
      </w:pPr>
    </w:p>
    <w:p>
      <w:pPr>
        <w:ind w:left="948" w:right="320" w:hanging="530"/>
        <w:spacing w:after="0" w:line="276" w:lineRule="auto"/>
        <w:tabs>
          <w:tab w:leader="none" w:pos="948"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separate 10b5-1 Trading Plans can be in effect at the same time as long as the trading periods under each plan do not overlap. However, the early termination of one 10b5-1 Trading Plan to avoid overlapping with a subsequent 10b5-1 Trading Plan will require a Cooling-Off Period between the early termination date and trading under the subsequent 10b5-1 Trading Plan.</w:t>
      </w:r>
    </w:p>
    <w:p>
      <w:pPr>
        <w:spacing w:after="0" w:line="70" w:lineRule="exact"/>
        <w:rPr>
          <w:rFonts w:ascii="Times New Roman" w:cs="Times New Roman" w:eastAsia="Times New Roman" w:hAnsi="Times New Roman"/>
          <w:sz w:val="17"/>
          <w:szCs w:val="17"/>
          <w:color w:val="auto"/>
        </w:rPr>
      </w:pPr>
    </w:p>
    <w:p>
      <w:pPr>
        <w:ind w:left="948" w:right="20" w:hanging="530"/>
        <w:spacing w:after="0" w:line="269" w:lineRule="auto"/>
        <w:tabs>
          <w:tab w:leader="none" w:pos="948"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10b5-1 Trading Plan that authorizes an agent (such as a broker or the administrator of the Company’s Share Incentive Plan) to sell only Company Securities as necessary to satisfy tax withholding obligations arising exclusively from the vesting of restricted shares or restricted share units (but not share options) and has no other trading algorithms (a “</w:t>
      </w:r>
      <w:r>
        <w:rPr>
          <w:rFonts w:ascii="Times New Roman" w:cs="Times New Roman" w:eastAsia="Times New Roman" w:hAnsi="Times New Roman"/>
          <w:sz w:val="17"/>
          <w:szCs w:val="17"/>
          <w:b w:val="1"/>
          <w:bCs w:val="1"/>
          <w:color w:val="auto"/>
        </w:rPr>
        <w:t>Sell-To-Cover Plan</w:t>
      </w:r>
      <w:r>
        <w:rPr>
          <w:rFonts w:ascii="Times New Roman" w:cs="Times New Roman" w:eastAsia="Times New Roman" w:hAnsi="Times New Roman"/>
          <w:sz w:val="17"/>
          <w:szCs w:val="17"/>
          <w:color w:val="auto"/>
        </w:rPr>
        <w:t>”) shall not count toward having a multiple 10b5-1 Trading Plan.</w:t>
      </w:r>
    </w:p>
    <w:p>
      <w:pPr>
        <w:spacing w:after="0" w:line="77" w:lineRule="exact"/>
        <w:rPr>
          <w:rFonts w:ascii="Times New Roman" w:cs="Times New Roman" w:eastAsia="Times New Roman" w:hAnsi="Times New Roman"/>
          <w:sz w:val="17"/>
          <w:szCs w:val="17"/>
          <w:color w:val="auto"/>
        </w:rPr>
      </w:pPr>
    </w:p>
    <w:p>
      <w:pPr>
        <w:jc w:val="both"/>
        <w:ind w:left="428" w:hanging="428"/>
        <w:spacing w:after="0" w:line="276" w:lineRule="auto"/>
        <w:tabs>
          <w:tab w:leader="none" w:pos="42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Single-Trade Plans</w:t>
      </w:r>
      <w:r>
        <w:rPr>
          <w:rFonts w:ascii="Times New Roman" w:cs="Times New Roman" w:eastAsia="Times New Roman" w:hAnsi="Times New Roman"/>
          <w:sz w:val="17"/>
          <w:szCs w:val="17"/>
          <w:color w:val="auto"/>
        </w:rPr>
        <w:t>. During any 12-month period, an individual or entity may not enter into more than one 10b5-1 Trading Plan which would have the practical effect, directly or indirectly, of requiring the purchase or sale under the plan to occur in a single transaction (a “</w:t>
      </w:r>
      <w:r>
        <w:rPr>
          <w:rFonts w:ascii="Times New Roman" w:cs="Times New Roman" w:eastAsia="Times New Roman" w:hAnsi="Times New Roman"/>
          <w:sz w:val="17"/>
          <w:szCs w:val="17"/>
          <w:b w:val="1"/>
          <w:bCs w:val="1"/>
          <w:i w:val="1"/>
          <w:iCs w:val="1"/>
          <w:color w:val="auto"/>
        </w:rPr>
        <w:t>Single-Trade Plan</w:t>
      </w:r>
      <w:r>
        <w:rPr>
          <w:rFonts w:ascii="Times New Roman" w:cs="Times New Roman" w:eastAsia="Times New Roman" w:hAnsi="Times New Roman"/>
          <w:sz w:val="17"/>
          <w:szCs w:val="17"/>
          <w:color w:val="auto"/>
        </w:rPr>
        <w:t>”). Sell-To-Cover Plan(s) are excluded from this 12-month limitation, even if they are Single-Trade Plans.</w:t>
      </w:r>
    </w:p>
    <w:p>
      <w:pPr>
        <w:spacing w:after="0" w:line="70" w:lineRule="exact"/>
        <w:rPr>
          <w:rFonts w:ascii="Times New Roman" w:cs="Times New Roman" w:eastAsia="Times New Roman" w:hAnsi="Times New Roman"/>
          <w:sz w:val="17"/>
          <w:szCs w:val="17"/>
          <w:color w:val="auto"/>
        </w:rPr>
      </w:pPr>
    </w:p>
    <w:p>
      <w:pPr>
        <w:ind w:left="428" w:right="180" w:hanging="428"/>
        <w:spacing w:after="0" w:line="269" w:lineRule="auto"/>
        <w:tabs>
          <w:tab w:leader="none" w:pos="42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 For directors and officers, the 10b5-1 Trading Plan must include the following certifications made to the issuer of Company Securities: (1) the person adopting a 10b5-1 Trading Plan is not aware of any material, non-public information about the Company or Company Securities; and (2) the person adopting a 10b5-1 Trading Plan is adopting the plan in good faith and not as part of a plan or scheme to evade the prohibitions of Rule 10b-5 promulgated under the Securities Exchange Act.</w:t>
      </w:r>
    </w:p>
    <w:p>
      <w:pPr>
        <w:spacing w:after="0" w:line="77" w:lineRule="exact"/>
        <w:rPr>
          <w:rFonts w:ascii="Times New Roman" w:cs="Times New Roman" w:eastAsia="Times New Roman" w:hAnsi="Times New Roman"/>
          <w:sz w:val="17"/>
          <w:szCs w:val="17"/>
          <w:color w:val="auto"/>
        </w:rPr>
      </w:pPr>
    </w:p>
    <w:p>
      <w:pPr>
        <w:ind w:left="428" w:right="120" w:hanging="428"/>
        <w:spacing w:after="0" w:line="295" w:lineRule="auto"/>
        <w:tabs>
          <w:tab w:leader="none" w:pos="42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Amendment</w:t>
      </w:r>
      <w:r>
        <w:rPr>
          <w:rFonts w:ascii="Times New Roman" w:cs="Times New Roman" w:eastAsia="Times New Roman" w:hAnsi="Times New Roman"/>
          <w:sz w:val="17"/>
          <w:szCs w:val="17"/>
          <w:color w:val="auto"/>
        </w:rPr>
        <w:t>. Termination or amendment of 10b5-1 Trading Plans should occur only in unusual circumstances and be subject to the following conditions:</w:t>
      </w:r>
    </w:p>
    <w:p>
      <w:pPr>
        <w:spacing w:after="0" w:line="55" w:lineRule="exact"/>
        <w:rPr>
          <w:rFonts w:ascii="Times New Roman" w:cs="Times New Roman" w:eastAsia="Times New Roman" w:hAnsi="Times New Roman"/>
          <w:sz w:val="17"/>
          <w:szCs w:val="17"/>
          <w:color w:val="auto"/>
        </w:rPr>
      </w:pPr>
    </w:p>
    <w:p>
      <w:pPr>
        <w:ind w:left="948" w:right="780" w:hanging="530"/>
        <w:spacing w:after="0" w:line="295" w:lineRule="auto"/>
        <w:tabs>
          <w:tab w:leader="none" w:pos="948"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of any termination or amendment of a 10b5-1 Trading Plan will be subject to the prior review and approval of the Authorizing Officer.</w:t>
      </w:r>
    </w:p>
    <w:p>
      <w:pPr>
        <w:spacing w:after="0" w:line="55" w:lineRule="exact"/>
        <w:rPr>
          <w:rFonts w:ascii="Times New Roman" w:cs="Times New Roman" w:eastAsia="Times New Roman" w:hAnsi="Times New Roman"/>
          <w:sz w:val="17"/>
          <w:szCs w:val="17"/>
          <w:color w:val="auto"/>
        </w:rPr>
      </w:pPr>
    </w:p>
    <w:p>
      <w:pPr>
        <w:ind w:left="948" w:right="180" w:hanging="530"/>
        <w:spacing w:after="0" w:line="295" w:lineRule="auto"/>
        <w:tabs>
          <w:tab w:leader="none" w:pos="948"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modifications to or deviations from a 10b5-1 Trading Plan are subject to the imposition of a new Cooling-Off Period before trading under the modified or deviated 10b5-1 Trading Plan can take effect.</w:t>
      </w:r>
    </w:p>
    <w:p>
      <w:pPr>
        <w:spacing w:after="0" w:line="8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608"/>
          </w:cols>
          <w:pgMar w:left="612" w:top="265" w:right="679" w:bottom="1440" w:gutter="0" w:footer="0" w:header="0"/>
        </w:sectPr>
      </w:pPr>
    </w:p>
    <w:bookmarkStart w:id="407" w:name="page408"/>
    <w:bookmarkEnd w:id="407"/>
    <w:p>
      <w:pPr>
        <w:ind w:left="948" w:hanging="530"/>
        <w:spacing w:after="0" w:line="266" w:lineRule="auto"/>
        <w:tabs>
          <w:tab w:leader="none" w:pos="948"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You should note that amendment or termination of a 10b5-1 Trading Plan may call into question the good faith requirement of Rule 10b5-1 and thus may result in the loss of the affirmative defense for past or future transactions under the 10b5-1 Trading Plan. You should consult with your own legal counsel before deciding to amend or terminate a 10b5-1 Trading Plan. In any event, you should not assume that compliance with a new Cooling-Off Period will protect you from possible adverse legal consequences of a 10b5-1 Trading Plan termination or amendment.</w:t>
      </w:r>
    </w:p>
    <w:p>
      <w:pPr>
        <w:spacing w:after="0" w:line="77" w:lineRule="exact"/>
        <w:rPr>
          <w:rFonts w:ascii="Times New Roman" w:cs="Times New Roman" w:eastAsia="Times New Roman" w:hAnsi="Times New Roman"/>
          <w:sz w:val="17"/>
          <w:szCs w:val="17"/>
          <w:color w:val="auto"/>
        </w:rPr>
      </w:pPr>
    </w:p>
    <w:p>
      <w:pPr>
        <w:ind w:left="948" w:right="80" w:hanging="530"/>
        <w:spacing w:after="0" w:line="270" w:lineRule="auto"/>
        <w:tabs>
          <w:tab w:leader="none" w:pos="948"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Under certain circumstances, a 10b5-1 Trading Plan </w:t>
      </w:r>
      <w:r>
        <w:rPr>
          <w:rFonts w:ascii="Times New Roman" w:cs="Times New Roman" w:eastAsia="Times New Roman" w:hAnsi="Times New Roman"/>
          <w:sz w:val="17"/>
          <w:szCs w:val="17"/>
          <w:i w:val="1"/>
          <w:iCs w:val="1"/>
          <w:color w:val="auto"/>
        </w:rPr>
        <w:t>must</w:t>
      </w:r>
      <w:r>
        <w:rPr>
          <w:rFonts w:ascii="Times New Roman" w:cs="Times New Roman" w:eastAsia="Times New Roman" w:hAnsi="Times New Roman"/>
          <w:sz w:val="17"/>
          <w:szCs w:val="17"/>
          <w:color w:val="auto"/>
        </w:rPr>
        <w:t xml:space="preserve"> be terminated by the Company. This may include circumstances such as the announcement of a merger or the occurrence of an event that would cause the transaction either to violate the law or to have an adverse effect on the Company. The Authorizing Officer or administrator of the Company’s Share Incentive Plan is authorized to notify the broker in such circumstances, thereby insulating the insider in the event of termination by the Company.</w:t>
      </w:r>
    </w:p>
    <w:p>
      <w:pPr>
        <w:spacing w:after="0" w:line="76" w:lineRule="exact"/>
        <w:rPr>
          <w:rFonts w:ascii="Times New Roman" w:cs="Times New Roman" w:eastAsia="Times New Roman" w:hAnsi="Times New Roman"/>
          <w:sz w:val="17"/>
          <w:szCs w:val="17"/>
          <w:color w:val="auto"/>
        </w:rPr>
      </w:pPr>
    </w:p>
    <w:p>
      <w:pPr>
        <w:jc w:val="both"/>
        <w:ind w:left="428" w:right="120" w:hanging="428"/>
        <w:spacing w:after="0" w:line="269" w:lineRule="auto"/>
        <w:tabs>
          <w:tab w:leader="none" w:pos="428"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144</w:t>
      </w:r>
      <w:r>
        <w:rPr>
          <w:rFonts w:ascii="Times New Roman" w:cs="Times New Roman" w:eastAsia="Times New Roman" w:hAnsi="Times New Roman"/>
          <w:sz w:val="17"/>
          <w:szCs w:val="17"/>
          <w:color w:val="auto"/>
        </w:rPr>
        <w:t>. If applicable, a SEC Form 144 will be filled out and filed in accordance with the existing rules regarding Form 144 filings. A footnote at the bottom of the Form 144 should indicate that the trades “are in accordance with a Rule 10b5-1 trading plan that complies with Rule 10b5-1 promulgated under the U.S. Securities Exchange Act of 1934, as amended” or other similar language to that effect. See Part 2 of this Schedule 2 for more information about the Form 144 filing requirements.</w:t>
      </w:r>
    </w:p>
    <w:p>
      <w:pPr>
        <w:spacing w:after="0" w:line="77" w:lineRule="exact"/>
        <w:rPr>
          <w:rFonts w:ascii="Times New Roman" w:cs="Times New Roman" w:eastAsia="Times New Roman" w:hAnsi="Times New Roman"/>
          <w:sz w:val="17"/>
          <w:szCs w:val="17"/>
          <w:color w:val="auto"/>
        </w:rPr>
      </w:pPr>
    </w:p>
    <w:p>
      <w:pPr>
        <w:ind w:left="428" w:hanging="428"/>
        <w:spacing w:after="0" w:line="263" w:lineRule="auto"/>
        <w:tabs>
          <w:tab w:leader="none" w:pos="428"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Exercises of options for cash may be executed at any time. The “Cashless exercise” of options is subject to trading windows. However, the Company will permit same day sales under 10b5-1 Trading Plans that comply with all the requirements for 10b5-1 Trading Plans described in this Policy. If a broker is required to execute a cashless exercise in accordance with a 10b5-1 Trading Plan, then the exercise forms must be attached to the relevant 10b5-1 Trading Plan that are signed, undated and with the number of shares to be exercised left blank. Once a broker determines that the time is right to exercise the option and dispose of the underlying shares in accordance with the 10b5-1 Trading Plan, the broker will notify the Company in writing and the administrator of the Company’s Share Incentive Plan will fill in the number of options and the date of exercise on the previously signed exercise form. The plan holder should not be involved with this part of the exercise.</w:t>
      </w:r>
    </w:p>
    <w:p>
      <w:pPr>
        <w:spacing w:after="0" w:line="81"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Trades Outside of a 10b5-1 Trading Plan</w:t>
      </w:r>
      <w:r>
        <w:rPr>
          <w:rFonts w:ascii="Times New Roman" w:cs="Times New Roman" w:eastAsia="Times New Roman" w:hAnsi="Times New Roman"/>
          <w:sz w:val="17"/>
          <w:szCs w:val="17"/>
          <w:color w:val="auto"/>
        </w:rPr>
        <w:t>. During an open trading window, trades differing from 10b5-1 Trading Plan instructions that are already in place, are allowed as long as the 10b5-1 Trading Plan continues to be followed.</w:t>
      </w:r>
    </w:p>
    <w:p>
      <w:pPr>
        <w:spacing w:after="0" w:line="55" w:lineRule="exact"/>
        <w:rPr>
          <w:rFonts w:ascii="Times New Roman" w:cs="Times New Roman" w:eastAsia="Times New Roman" w:hAnsi="Times New Roman"/>
          <w:sz w:val="17"/>
          <w:szCs w:val="17"/>
          <w:color w:val="auto"/>
        </w:rPr>
      </w:pPr>
    </w:p>
    <w:p>
      <w:pPr>
        <w:jc w:val="both"/>
        <w:ind w:left="428" w:right="160" w:hanging="428"/>
        <w:spacing w:after="0" w:line="276" w:lineRule="auto"/>
        <w:tabs>
          <w:tab w:leader="none" w:pos="428"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The Company may make a public announcement that 10b5- 1 Trading Plans are being implemented in accordance with Rule 10b5-1. It will consider in each case whether a public announcement of a particular 10b5-1 Trading Plan should be made. It may also make public announcements or respond to inquiries from the media as transactions are made under a 10b5-1 Trading Plan.</w:t>
      </w:r>
    </w:p>
    <w:p>
      <w:pPr>
        <w:spacing w:after="0" w:line="9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48"/>
          </w:cols>
          <w:pgMar w:left="612" w:top="264" w:right="639" w:bottom="1440" w:gutter="0" w:footer="0" w:header="0"/>
        </w:sectPr>
      </w:pPr>
    </w:p>
    <w:bookmarkStart w:id="408" w:name="page409"/>
    <w:bookmarkEnd w:id="408"/>
    <w:p>
      <w:pPr>
        <w:ind w:left="428" w:right="40" w:hanging="428"/>
        <w:spacing w:after="0" w:line="276" w:lineRule="auto"/>
        <w:tabs>
          <w:tab w:leader="none" w:pos="428"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Prohibited Transactions</w:t>
      </w:r>
      <w:r>
        <w:rPr>
          <w:rFonts w:ascii="Times New Roman" w:cs="Times New Roman" w:eastAsia="Times New Roman" w:hAnsi="Times New Roman"/>
          <w:sz w:val="17"/>
          <w:szCs w:val="17"/>
          <w:color w:val="auto"/>
        </w:rPr>
        <w:t>. The transactions prohibited under Section III of this Policy, including among others short sales and hedging transactions, may not be carried out through a 10b5-1 Trading Plan or other arrangement or trading instruction involving potential sales or purchases of Company Securities.</w:t>
      </w:r>
    </w:p>
    <w:p>
      <w:pPr>
        <w:spacing w:after="0" w:line="70" w:lineRule="exact"/>
        <w:rPr>
          <w:rFonts w:ascii="Times New Roman" w:cs="Times New Roman" w:eastAsia="Times New Roman" w:hAnsi="Times New Roman"/>
          <w:sz w:val="17"/>
          <w:szCs w:val="17"/>
          <w:color w:val="auto"/>
        </w:rPr>
      </w:pPr>
    </w:p>
    <w:p>
      <w:pPr>
        <w:ind w:left="428" w:hanging="428"/>
        <w:spacing w:after="0" w:line="269" w:lineRule="auto"/>
        <w:tabs>
          <w:tab w:leader="none" w:pos="428"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Liability</w:t>
      </w:r>
      <w:r>
        <w:rPr>
          <w:rFonts w:ascii="Times New Roman" w:cs="Times New Roman" w:eastAsia="Times New Roman" w:hAnsi="Times New Roman"/>
          <w:sz w:val="17"/>
          <w:szCs w:val="17"/>
          <w:color w:val="auto"/>
        </w:rPr>
        <w:t>. None of the Company, the Authorizing Officer or the Company’s other employees will have any liability for any delay in reviewing, or refusal of, a 10b5-1 Trading Plan submitted pursuant to this Section IV. Notwithstanding any review of a 10b5-1 Trading Plan pursuant to this Section IV, none of the Company, the Authorizing Officer or the Company’s other employees assumes any liability for the legality or consequences relating to such 10b5-1 Trading Plan to the person adopting such plan.</w:t>
      </w:r>
    </w:p>
    <w:p>
      <w:pPr>
        <w:spacing w:after="0" w:line="10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608"/>
          </w:cols>
          <w:pgMar w:left="612" w:top="265" w:right="679" w:bottom="1440" w:gutter="0" w:footer="0" w:header="0"/>
        </w:sectPr>
      </w:pPr>
    </w:p>
    <w:bookmarkStart w:id="409" w:name="page410"/>
    <w:bookmarkEnd w:id="409"/>
    <w:p>
      <w:pPr>
        <w:jc w:val="center"/>
        <w:ind w:right="-47"/>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2 - Rule 144</w:t>
      </w:r>
    </w:p>
    <w:p>
      <w:pPr>
        <w:spacing w:after="0" w:line="12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(Applicable to Officers, Directors and 10% Shareholders)</w:t>
      </w:r>
    </w:p>
    <w:p>
      <w:pPr>
        <w:spacing w:after="0" w:line="223" w:lineRule="exact"/>
        <w:rPr>
          <w:sz w:val="20"/>
          <w:szCs w:val="20"/>
          <w:color w:val="auto"/>
        </w:rPr>
      </w:pPr>
    </w:p>
    <w:p>
      <w:pPr>
        <w:jc w:val="both"/>
        <w:ind w:left="8" w:right="40"/>
        <w:spacing w:after="0" w:line="276" w:lineRule="auto"/>
        <w:rPr>
          <w:sz w:val="20"/>
          <w:szCs w:val="20"/>
          <w:color w:val="auto"/>
        </w:rPr>
      </w:pPr>
      <w:r>
        <w:rPr>
          <w:rFonts w:ascii="Times New Roman" w:cs="Times New Roman" w:eastAsia="Times New Roman" w:hAnsi="Times New Roman"/>
          <w:sz w:val="17"/>
          <w:szCs w:val="17"/>
          <w:color w:val="auto"/>
        </w:rPr>
        <w:t>Sales of Company Securities by “affiliates” (generally, directors, officers and 10% shareholders of the Company) must comply with the requirements of Rule 144, in addition to any other applicable securities laws (including Rule 10b-5). It provides a safe harbor exemption to the registration requirements of the U.S. Securities Act of 1933, as amended for certain resales of “restricted securities” and “control securities.” The rule in summary requires:</w:t>
      </w:r>
    </w:p>
    <w:p>
      <w:pPr>
        <w:spacing w:after="0" w:line="70" w:lineRule="exact"/>
        <w:rPr>
          <w:sz w:val="20"/>
          <w:szCs w:val="20"/>
          <w:color w:val="auto"/>
        </w:rPr>
      </w:pPr>
    </w:p>
    <w:p>
      <w:pPr>
        <w:ind w:left="428" w:hanging="428"/>
        <w:spacing w:after="0"/>
        <w:tabs>
          <w:tab w:leader="none" w:pos="428"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Current Public Information.</w:t>
      </w:r>
      <w:r>
        <w:rPr>
          <w:rFonts w:ascii="Times New Roman" w:cs="Times New Roman" w:eastAsia="Times New Roman" w:hAnsi="Times New Roman"/>
          <w:sz w:val="17"/>
          <w:szCs w:val="17"/>
          <w:color w:val="auto"/>
        </w:rPr>
        <w:t xml:space="preserve"> The Company must have filed all SEC-required reports during the last 12 months.</w:t>
      </w:r>
    </w:p>
    <w:p>
      <w:pPr>
        <w:spacing w:after="0" w:line="131" w:lineRule="exact"/>
        <w:rPr>
          <w:rFonts w:ascii="Times New Roman" w:cs="Times New Roman" w:eastAsia="Times New Roman" w:hAnsi="Times New Roman"/>
          <w:sz w:val="17"/>
          <w:szCs w:val="17"/>
          <w:color w:val="auto"/>
        </w:rPr>
      </w:pPr>
    </w:p>
    <w:p>
      <w:pPr>
        <w:ind w:left="428" w:hanging="428"/>
        <w:spacing w:after="0" w:line="269" w:lineRule="auto"/>
        <w:tabs>
          <w:tab w:leader="none" w:pos="428"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Volume Limitations</w:t>
      </w:r>
      <w:r>
        <w:rPr>
          <w:rFonts w:ascii="Times New Roman" w:cs="Times New Roman" w:eastAsia="Times New Roman" w:hAnsi="Times New Roman"/>
          <w:sz w:val="17"/>
          <w:szCs w:val="17"/>
          <w:color w:val="auto"/>
        </w:rPr>
        <w:t>. Total sales of Company ordinary shares by a covered individual for any three-month period may not exceed the 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77" w:lineRule="exact"/>
        <w:rPr>
          <w:rFonts w:ascii="Times New Roman" w:cs="Times New Roman" w:eastAsia="Times New Roman" w:hAnsi="Times New Roman"/>
          <w:sz w:val="17"/>
          <w:szCs w:val="17"/>
          <w:color w:val="auto"/>
        </w:rPr>
      </w:pPr>
    </w:p>
    <w:p>
      <w:pPr>
        <w:ind w:left="428" w:hanging="428"/>
        <w:spacing w:after="0" w:line="265" w:lineRule="auto"/>
        <w:tabs>
          <w:tab w:leader="none" w:pos="428"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Sale</w:t>
      </w:r>
      <w:r>
        <w:rPr>
          <w:rFonts w:ascii="Times New Roman" w:cs="Times New Roman" w:eastAsia="Times New Roman" w:hAnsi="Times New Roman"/>
          <w:sz w:val="17"/>
          <w:szCs w:val="17"/>
          <w:color w:val="auto"/>
        </w:rPr>
        <w:t>. The shares must be sold either in a “broker’s transaction” or in a transaction 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must not pay any fee or commission other than to the broker. A “market maker” includes a specialist permitted to act as a dealer, a dealer acting in the position of a block positioner, and a dealer who holds himself or herself out as being willing to buy and sell Company ordinary shares for his or her own account on a regular and continuous basis.</w:t>
      </w:r>
    </w:p>
    <w:p>
      <w:pPr>
        <w:spacing w:after="0" w:line="292" w:lineRule="exact"/>
        <w:rPr>
          <w:rFonts w:ascii="Times New Roman" w:cs="Times New Roman" w:eastAsia="Times New Roman" w:hAnsi="Times New Roman"/>
          <w:sz w:val="17"/>
          <w:szCs w:val="17"/>
          <w:color w:val="auto"/>
        </w:rPr>
      </w:pPr>
    </w:p>
    <w:p>
      <w:pPr>
        <w:ind w:left="428" w:right="500" w:hanging="428"/>
        <w:spacing w:after="0" w:line="276" w:lineRule="auto"/>
        <w:tabs>
          <w:tab w:leader="none" w:pos="428"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Proposed Sale</w:t>
      </w:r>
      <w:r>
        <w:rPr>
          <w:rFonts w:ascii="Times New Roman" w:cs="Times New Roman" w:eastAsia="Times New Roman" w:hAnsi="Times New Roman"/>
          <w:sz w:val="17"/>
          <w:szCs w:val="17"/>
          <w:color w:val="auto"/>
        </w:rPr>
        <w:t>. The selling person must file a notice of the proposed sale (Form 144) with the SEC electronically on the SEC’s Electronic Data Gathering, Analysis, and Retrieval system (EDGAR) at the time of the sale. Brokers generally have internal procedures for executing sales under Rule 144 and will assist you in completing the Form 144 and in complying with the other requirements of Rule 144.</w:t>
      </w:r>
    </w:p>
    <w:p>
      <w:pPr>
        <w:spacing w:after="0" w:line="162" w:lineRule="exact"/>
        <w:rPr>
          <w:sz w:val="20"/>
          <w:szCs w:val="20"/>
          <w:color w:val="auto"/>
        </w:rPr>
      </w:pPr>
    </w:p>
    <w:p>
      <w:pPr>
        <w:ind w:left="8" w:right="360"/>
        <w:spacing w:after="0" w:line="276" w:lineRule="auto"/>
        <w:rPr>
          <w:sz w:val="20"/>
          <w:szCs w:val="20"/>
          <w:color w:val="auto"/>
        </w:rPr>
      </w:pPr>
      <w:r>
        <w:rPr>
          <w:rFonts w:ascii="Times New Roman" w:cs="Times New Roman" w:eastAsia="Times New Roman" w:hAnsi="Times New Roman"/>
          <w:sz w:val="17"/>
          <w:szCs w:val="17"/>
          <w:color w:val="auto"/>
        </w:rPr>
        <w:t>If you are subject to Rule 144, you must instruct your broker who handles trades in Company Securities to follow the brokerage firm’s Rule 144 compliance procedures in connection with all trades. A person is deemed to be an affiliate for the three-month period after which they cease to be a director, officer or 10% shareholder for the purposes of Rule 144.</w:t>
      </w:r>
    </w:p>
    <w:p>
      <w:pPr>
        <w:spacing w:after="0" w:line="9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628"/>
          </w:cols>
          <w:pgMar w:left="612" w:top="263" w:right="65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22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I, Lawrence Yau Lung Ho, certify that:</w:t>
      </w:r>
    </w:p>
    <w:p>
      <w:pPr>
        <w:spacing w:after="0" w:line="131" w:lineRule="exact"/>
        <w:rPr>
          <w:sz w:val="20"/>
          <w:szCs w:val="20"/>
          <w:color w:val="auto"/>
        </w:rPr>
      </w:pPr>
    </w:p>
    <w:p>
      <w:pPr>
        <w:ind w:left="428" w:hanging="428"/>
        <w:spacing w:after="0"/>
        <w:tabs>
          <w:tab w:leader="none" w:pos="42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Melco Resorts &amp; Entertainment Limited;</w:t>
      </w:r>
    </w:p>
    <w:p>
      <w:pPr>
        <w:spacing w:after="0" w:line="131"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7"/>
          <w:szCs w:val="17"/>
          <w:color w:val="auto"/>
        </w:rPr>
      </w:pPr>
    </w:p>
    <w:p>
      <w:pPr>
        <w:ind w:left="428" w:right="80" w:hanging="428"/>
        <w:spacing w:after="0" w:line="295" w:lineRule="auto"/>
        <w:tabs>
          <w:tab w:leader="none" w:pos="42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428" w:right="140" w:hanging="428"/>
        <w:spacing w:after="0" w:line="267" w:lineRule="auto"/>
        <w:tabs>
          <w:tab w:leader="none" w:pos="42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company and have:</w:t>
      </w:r>
    </w:p>
    <w:p>
      <w:pPr>
        <w:spacing w:after="0" w:line="113" w:lineRule="exact"/>
        <w:rPr>
          <w:rFonts w:ascii="Times New Roman" w:cs="Times New Roman" w:eastAsia="Times New Roman" w:hAnsi="Times New Roman"/>
          <w:sz w:val="17"/>
          <w:szCs w:val="17"/>
          <w:color w:val="auto"/>
        </w:rPr>
      </w:pPr>
    </w:p>
    <w:p>
      <w:pPr>
        <w:ind w:left="948" w:right="20" w:hanging="530"/>
        <w:spacing w:after="0" w:line="276" w:lineRule="auto"/>
        <w:tabs>
          <w:tab w:leader="none" w:pos="9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left="948" w:right="160" w:hanging="530"/>
        <w:spacing w:after="0" w:line="276" w:lineRule="auto"/>
        <w:tabs>
          <w:tab w:leader="none" w:pos="9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jc w:val="both"/>
        <w:ind w:left="948" w:right="320" w:hanging="530"/>
        <w:spacing w:after="0" w:line="295" w:lineRule="auto"/>
        <w:tabs>
          <w:tab w:leader="none" w:pos="9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948" w:right="220" w:hanging="530"/>
        <w:spacing w:after="0" w:line="276" w:lineRule="auto"/>
        <w:tabs>
          <w:tab w:leader="none" w:pos="9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0"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948" w:right="540" w:hanging="530"/>
        <w:spacing w:after="0" w:line="295" w:lineRule="auto"/>
        <w:tabs>
          <w:tab w:leader="none" w:pos="9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948" w:right="260" w:hanging="530"/>
        <w:spacing w:after="0" w:line="295" w:lineRule="auto"/>
        <w:tabs>
          <w:tab w:leader="none" w:pos="9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ind w:left="8"/>
        <w:spacing w:after="0"/>
        <w:tabs>
          <w:tab w:leader="none" w:pos="508" w:val="left"/>
        </w:tabs>
        <w:rPr>
          <w:sz w:val="20"/>
          <w:szCs w:val="20"/>
          <w:color w:val="auto"/>
        </w:rPr>
      </w:pPr>
      <w:r>
        <w:rPr>
          <w:rFonts w:ascii="Times New Roman" w:cs="Times New Roman" w:eastAsia="Times New Roman" w:hAnsi="Times New Roman"/>
          <w:sz w:val="17"/>
          <w:szCs w:val="17"/>
          <w:color w:val="auto"/>
        </w:rPr>
        <w:t>Date:</w:t>
        <w:tab/>
        <w:t>March 13, 2026</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 /s/ Lawrence Yau Lung Ho</w:t>
      </w:r>
    </w:p>
    <w:p>
      <w:pPr>
        <w:spacing w:after="0" w:line="32"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Name: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-123190</wp:posOffset>
            </wp:positionV>
            <wp:extent cx="25146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9">
                      <a:extLst>
                        <a:ext uri="{28A0092B-C50C-407E-A947-70E740481C1C}"/>
                      </a:extLst>
                    </a:blip>
                    <a:srcRect/>
                    <a:stretch>
                      <a:fillRect/>
                    </a:stretch>
                  </pic:blipFill>
                  <pic:spPr bwMode="auto">
                    <a:xfrm>
                      <a:off x="0" y="0"/>
                      <a:ext cx="2514600" cy="8255"/>
                    </a:xfrm>
                    <a:prstGeom prst="rect">
                      <a:avLst/>
                    </a:prstGeom>
                    <a:noFill/>
                  </pic:spPr>
                </pic:pic>
              </a:graphicData>
            </a:graphic>
          </wp:anchor>
        </w:drawing>
      </w:r>
    </w:p>
    <w:p>
      <w:pPr>
        <w:spacing w:after="0" w:line="7"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ectPr>
          <w:pgSz w:w="11900" w:h="16838" w:orient="portrait"/>
          <w:cols w:equalWidth="0" w:num="1">
            <w:col w:w="10668"/>
          </w:cols>
          <w:pgMar w:left="612" w:top="119" w:right="61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22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I, Geoffrey Stuart Davis, certify that:</w:t>
      </w:r>
    </w:p>
    <w:p>
      <w:pPr>
        <w:spacing w:after="0" w:line="131" w:lineRule="exact"/>
        <w:rPr>
          <w:sz w:val="20"/>
          <w:szCs w:val="20"/>
          <w:color w:val="auto"/>
        </w:rPr>
      </w:pPr>
    </w:p>
    <w:p>
      <w:pPr>
        <w:ind w:left="428" w:hanging="428"/>
        <w:spacing w:after="0"/>
        <w:tabs>
          <w:tab w:leader="none" w:pos="42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Melco Resorts &amp; Entertainment Limited;</w:t>
      </w:r>
    </w:p>
    <w:p>
      <w:pPr>
        <w:spacing w:after="0" w:line="131"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7"/>
          <w:szCs w:val="17"/>
          <w:color w:val="auto"/>
        </w:rPr>
      </w:pPr>
    </w:p>
    <w:p>
      <w:pPr>
        <w:ind w:left="428" w:right="80" w:hanging="428"/>
        <w:spacing w:after="0" w:line="295" w:lineRule="auto"/>
        <w:tabs>
          <w:tab w:leader="none" w:pos="42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428" w:right="140" w:hanging="428"/>
        <w:spacing w:after="0" w:line="267" w:lineRule="auto"/>
        <w:tabs>
          <w:tab w:leader="none" w:pos="42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company and have:</w:t>
      </w:r>
    </w:p>
    <w:p>
      <w:pPr>
        <w:spacing w:after="0" w:line="113" w:lineRule="exact"/>
        <w:rPr>
          <w:rFonts w:ascii="Times New Roman" w:cs="Times New Roman" w:eastAsia="Times New Roman" w:hAnsi="Times New Roman"/>
          <w:sz w:val="17"/>
          <w:szCs w:val="17"/>
          <w:color w:val="auto"/>
        </w:rPr>
      </w:pPr>
    </w:p>
    <w:p>
      <w:pPr>
        <w:ind w:left="948" w:right="20" w:hanging="530"/>
        <w:spacing w:after="0" w:line="276" w:lineRule="auto"/>
        <w:tabs>
          <w:tab w:leader="none" w:pos="948"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left="948" w:right="160" w:hanging="530"/>
        <w:spacing w:after="0" w:line="276" w:lineRule="auto"/>
        <w:tabs>
          <w:tab w:leader="none" w:pos="948"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jc w:val="both"/>
        <w:ind w:left="948" w:right="320" w:hanging="530"/>
        <w:spacing w:after="0" w:line="295" w:lineRule="auto"/>
        <w:tabs>
          <w:tab w:leader="none" w:pos="948"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948" w:right="220" w:hanging="530"/>
        <w:spacing w:after="0" w:line="276" w:lineRule="auto"/>
        <w:tabs>
          <w:tab w:leader="none" w:pos="948"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0"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948" w:right="540" w:hanging="530"/>
        <w:spacing w:after="0" w:line="295" w:lineRule="auto"/>
        <w:tabs>
          <w:tab w:leader="none" w:pos="948"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948" w:right="260" w:hanging="530"/>
        <w:spacing w:after="0" w:line="295" w:lineRule="auto"/>
        <w:tabs>
          <w:tab w:leader="none" w:pos="948"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ind w:left="8"/>
        <w:spacing w:after="0"/>
        <w:tabs>
          <w:tab w:leader="none" w:pos="548" w:val="left"/>
        </w:tabs>
        <w:rPr>
          <w:sz w:val="20"/>
          <w:szCs w:val="20"/>
          <w:color w:val="auto"/>
        </w:rPr>
      </w:pPr>
      <w:r>
        <w:rPr>
          <w:rFonts w:ascii="Times New Roman" w:cs="Times New Roman" w:eastAsia="Times New Roman" w:hAnsi="Times New Roman"/>
          <w:sz w:val="17"/>
          <w:szCs w:val="17"/>
          <w:color w:val="auto"/>
        </w:rPr>
        <w:t>Date:</w:t>
        <w:tab/>
        <w:t>March 13, 2026</w:t>
      </w:r>
    </w:p>
    <w:p>
      <w:pPr>
        <w:spacing w:after="0" w:line="223" w:lineRule="exact"/>
        <w:rPr>
          <w:sz w:val="20"/>
          <w:szCs w:val="20"/>
          <w:color w:val="auto"/>
        </w:rPr>
      </w:pPr>
    </w:p>
    <w:p>
      <w:pPr>
        <w:ind w:left="8"/>
        <w:spacing w:after="0"/>
        <w:tabs>
          <w:tab w:leader="none" w:pos="368" w:val="left"/>
        </w:tabs>
        <w:rPr>
          <w:sz w:val="20"/>
          <w:szCs w:val="20"/>
          <w:color w:val="auto"/>
        </w:rPr>
      </w:pPr>
      <w:r>
        <w:rPr>
          <w:rFonts w:ascii="Times New Roman" w:cs="Times New Roman" w:eastAsia="Times New Roman" w:hAnsi="Times New Roman"/>
          <w:sz w:val="17"/>
          <w:szCs w:val="17"/>
          <w:color w:val="auto"/>
        </w:rPr>
        <w:t>By:</w:t>
        <w:tab/>
        <w:t>/s/ Geoffrey Stuart Davis</w:t>
      </w:r>
    </w:p>
    <w:p>
      <w:pPr>
        <w:spacing w:after="0" w:line="32"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-123190</wp:posOffset>
            </wp:positionV>
            <wp:extent cx="25228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0">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0668"/>
          </w:cols>
          <w:pgMar w:left="612" w:top="119" w:right="619"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In connection with the Annual Report of Melco Resorts &amp; Entertainment Limited (the “Company”) on Form 20-F for the year ended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December 31, 2025 as filed with the Securities and Exchange Commission on the date hereof (the “Report”), I, Lawrence Yau Lung Ho, Chairman and</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Chief Executive Officer of the Company, certify, pursuant to 18 U.S.C. Section 1350, as adopted pursuant to Section 906 of the Sarbanes-Oxley Act of</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2002, that to my knowledge:</w:t>
      </w:r>
    </w:p>
    <w:p>
      <w:pPr>
        <w:spacing w:after="0" w:line="113" w:lineRule="exact"/>
        <w:rPr>
          <w:sz w:val="20"/>
          <w:szCs w:val="20"/>
          <w:color w:val="auto"/>
        </w:rPr>
      </w:pPr>
    </w:p>
    <w:p>
      <w:pPr>
        <w:ind w:left="428" w:hanging="428"/>
        <w:spacing w:after="0"/>
        <w:tabs>
          <w:tab w:leader="none" w:pos="428"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8"/>
        <w:spacing w:after="0"/>
        <w:tabs>
          <w:tab w:leader="none" w:pos="548" w:val="left"/>
        </w:tabs>
        <w:rPr>
          <w:sz w:val="20"/>
          <w:szCs w:val="20"/>
          <w:color w:val="auto"/>
        </w:rPr>
      </w:pPr>
      <w:r>
        <w:rPr>
          <w:rFonts w:ascii="Times New Roman" w:cs="Times New Roman" w:eastAsia="Times New Roman" w:hAnsi="Times New Roman"/>
          <w:sz w:val="17"/>
          <w:szCs w:val="17"/>
          <w:color w:val="auto"/>
        </w:rPr>
        <w:t>Date:</w:t>
        <w:tab/>
        <w:t>March 13, 2026</w:t>
      </w:r>
    </w:p>
    <w:p>
      <w:pPr>
        <w:spacing w:after="0" w:line="223" w:lineRule="exact"/>
        <w:rPr>
          <w:sz w:val="20"/>
          <w:szCs w:val="20"/>
          <w:color w:val="auto"/>
        </w:rPr>
      </w:pPr>
    </w:p>
    <w:p>
      <w:pPr>
        <w:ind w:left="8"/>
        <w:spacing w:after="0"/>
        <w:tabs>
          <w:tab w:leader="none" w:pos="368" w:val="left"/>
        </w:tabs>
        <w:rPr>
          <w:sz w:val="20"/>
          <w:szCs w:val="20"/>
          <w:color w:val="auto"/>
        </w:rPr>
      </w:pPr>
      <w:r>
        <w:rPr>
          <w:rFonts w:ascii="Times New Roman" w:cs="Times New Roman" w:eastAsia="Times New Roman" w:hAnsi="Times New Roman"/>
          <w:sz w:val="17"/>
          <w:szCs w:val="17"/>
          <w:color w:val="auto"/>
        </w:rPr>
        <w:t>By:</w:t>
        <w:tab/>
        <w:t>/s/ Lawrence Yau Lung Ho</w:t>
      </w:r>
    </w:p>
    <w:p>
      <w:pPr>
        <w:spacing w:after="0" w:line="32"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7"/>
          <w:szCs w:val="17"/>
          <w:color w:val="auto"/>
        </w:rPr>
        <w:t>Name: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-123190</wp:posOffset>
            </wp:positionV>
            <wp:extent cx="25228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1">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ectPr>
          <w:pgSz w:w="11900" w:h="16838" w:orient="portrait"/>
          <w:cols w:equalWidth="0" w:num="1">
            <w:col w:w="10668"/>
          </w:cols>
          <w:pgMar w:left="612" w:top="119" w:right="61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In connection with the Annual Report of Melco Resorts &amp; Entertainment Limited (the “Company”) on Form 20-F for the year ended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December 31, 2025 as filed with the Securities and Exchange Commission on the date hereof (the “Report”), I, Geoffrey Stuart Davis, Chief Financial</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Officer of the Company, certify, pursuant to 18 U.S.C. Section 1350, as adopted pursuant to Section 906 of the Sarbanes-Oxley Act of 2002, that to my</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knowledge:</w:t>
      </w:r>
    </w:p>
    <w:p>
      <w:pPr>
        <w:spacing w:after="0" w:line="113" w:lineRule="exact"/>
        <w:rPr>
          <w:sz w:val="20"/>
          <w:szCs w:val="20"/>
          <w:color w:val="auto"/>
        </w:rPr>
      </w:pPr>
    </w:p>
    <w:p>
      <w:pPr>
        <w:ind w:left="428" w:hanging="428"/>
        <w:spacing w:after="0"/>
        <w:tabs>
          <w:tab w:leader="none" w:pos="428"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8"/>
        <w:spacing w:after="0"/>
        <w:tabs>
          <w:tab w:leader="none" w:pos="508" w:val="left"/>
        </w:tabs>
        <w:rPr>
          <w:sz w:val="20"/>
          <w:szCs w:val="20"/>
          <w:color w:val="auto"/>
        </w:rPr>
      </w:pPr>
      <w:r>
        <w:rPr>
          <w:rFonts w:ascii="Times New Roman" w:cs="Times New Roman" w:eastAsia="Times New Roman" w:hAnsi="Times New Roman"/>
          <w:sz w:val="17"/>
          <w:szCs w:val="17"/>
          <w:color w:val="auto"/>
        </w:rPr>
        <w:t>Date:</w:t>
        <w:tab/>
        <w:t>March 13, 2026</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By: /s/ Geoffrey Stuart Davis</w:t>
      </w:r>
    </w:p>
    <w:p>
      <w:pPr>
        <w:spacing w:after="0" w:line="32"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Name: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-123190</wp:posOffset>
            </wp:positionV>
            <wp:extent cx="25146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2">
                      <a:extLst>
                        <a:ext uri="{28A0092B-C50C-407E-A947-70E740481C1C}"/>
                      </a:extLst>
                    </a:blip>
                    <a:srcRect/>
                    <a:stretch>
                      <a:fillRect/>
                    </a:stretch>
                  </pic:blipFill>
                  <pic:spPr bwMode="auto">
                    <a:xfrm>
                      <a:off x="0" y="0"/>
                      <a:ext cx="2514600" cy="8255"/>
                    </a:xfrm>
                    <a:prstGeom prst="rect">
                      <a:avLst/>
                    </a:prstGeom>
                    <a:noFill/>
                  </pic:spPr>
                </pic:pic>
              </a:graphicData>
            </a:graphic>
          </wp:anchor>
        </w:drawing>
      </w:r>
    </w:p>
    <w:p>
      <w:pPr>
        <w:spacing w:after="0" w:line="7"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0668"/>
          </w:cols>
          <w:pgMar w:left="612" w:top="119" w:right="619" w:bottom="1440" w:gutter="0" w:footer="0" w:header="0"/>
        </w:sectPr>
      </w:pPr>
    </w:p>
    <w:bookmarkStart w:id="414" w:name="page415"/>
    <w:bookmarkEnd w:id="414"/>
    <w:p>
      <w:pPr>
        <w:ind w:left="976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493520" cy="3486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3">
                      <a:extLst>
                        <a:ext uri="{28A0092B-C50C-407E-A947-70E740481C1C}"/>
                      </a:extLst>
                    </a:blip>
                    <a:srcRect/>
                    <a:stretch>
                      <a:fillRect/>
                    </a:stretch>
                  </pic:blipFill>
                  <pic:spPr bwMode="auto">
                    <a:xfrm>
                      <a:off x="0" y="0"/>
                      <a:ext cx="1493520"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8260" w:val="left"/>
        </w:tabs>
        <w:rPr>
          <w:sz w:val="20"/>
          <w:szCs w:val="20"/>
          <w:color w:val="auto"/>
        </w:rPr>
      </w:pPr>
      <w:r>
        <w:rPr>
          <w:rFonts w:ascii="Times New Roman" w:cs="Times New Roman" w:eastAsia="Times New Roman" w:hAnsi="Times New Roman"/>
          <w:sz w:val="17"/>
          <w:szCs w:val="17"/>
          <w:color w:val="auto"/>
        </w:rPr>
        <w:t>13 March 2026</w:t>
      </w:r>
      <w:r>
        <w:rPr>
          <w:sz w:val="20"/>
          <w:szCs w:val="20"/>
          <w:color w:val="auto"/>
        </w:rPr>
        <w:tab/>
      </w:r>
      <w:r>
        <w:rPr>
          <w:rFonts w:ascii="Times New Roman" w:cs="Times New Roman" w:eastAsia="Times New Roman" w:hAnsi="Times New Roman"/>
          <w:sz w:val="17"/>
          <w:szCs w:val="17"/>
          <w:color w:val="auto"/>
        </w:rPr>
        <w:t>Our Ref: JT/SML/M6207-S10414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Melco Resorts &amp; Entertainment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Intertrust Corporate Services (Cayman)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Nexus Way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Camana Bay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Cayman KY1-9005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20-F</w:t>
      </w:r>
    </w:p>
    <w:p>
      <w:pPr>
        <w:spacing w:after="0" w:line="1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We consent to the reference to our firm under the heading “Board Practices”, the heading “Documents on Display” and the heading “Corporate Governance” in the Annual Report on Form 20-F of Melco Resorts &amp; Entertainment Limited for the year ended 31 December 2025, which will be filed with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on 13 March 2026 under the U.S.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 giving such consent, we do not thereby admit that we come within the category of persons whose consent is required under the Exchange Act, or the Rules and Regulations of the Commission thereunder.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Walkers (Singapore) Limited Liability Partnership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WALKERS (SINGAPORE) LIMITED LIABILITY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Walkers (Singapore) Limited Liability Partnership</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UEN/Reg. No. T09LL0833E</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 Marina View, #35-06 Asia Square Tower 1, Singapore 018960</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T </w:t>
      </w:r>
      <w:r>
        <w:rPr>
          <w:rFonts w:ascii="Times New Roman" w:cs="Times New Roman" w:eastAsia="Times New Roman" w:hAnsi="Times New Roman"/>
          <w:sz w:val="17"/>
          <w:szCs w:val="17"/>
          <w:color w:val="auto"/>
        </w:rPr>
        <w:t>+65 6595 4670 www.walkersglobal.com</w:t>
      </w:r>
    </w:p>
    <w:p>
      <w:pPr>
        <w:spacing w:after="0" w:line="20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Bermuda | British Virgin Islands | Cayman Islands | Dubai | Dublin | Guernsey | Hong Kong | Jersey | London | Singapore</w:t>
      </w:r>
    </w:p>
    <w:p>
      <w:pPr>
        <w:sectPr>
          <w:pgSz w:w="11900" w:h="16838" w:orient="portrait"/>
          <w:cols w:equalWidth="0" w:num="1">
            <w:col w:w="10660"/>
          </w:cols>
          <w:pgMar w:left="620" w:top="119" w:right="619"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17"/>
          <w:szCs w:val="17"/>
          <w:b w:val="1"/>
          <w:bCs w:val="1"/>
          <w:color w:val="auto"/>
        </w:rPr>
        <w:t>Exhibit 15.2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333-280286 on Form F-3 and Registration Statement Nos. 333-185477 and 333-261554 on Form S-8 of our reports dated March 13, 2026, relating to the financial statements of Melco Resorts &amp; Entertainment Limited and the effectiveness of Melco Resorts &amp; Entertainment Limited’s internal control over financial reporting appearing in this Annual Report on Form 20-F for the year ended December 31, 2025.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ectPr>
          <w:pgSz w:w="11900" w:h="16838" w:orient="portrait"/>
          <w:cols w:equalWidth="0" w:num="1">
            <w:col w:w="10660"/>
          </w:cols>
          <w:pgMar w:left="620" w:top="119" w:right="61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7"/>
          <w:szCs w:val="17"/>
          <w:b w:val="1"/>
          <w:bCs w:val="1"/>
          <w:color w:val="auto"/>
        </w:rPr>
        <w:t>Exhibit 15.3</w:t>
      </w:r>
    </w:p>
    <w:p>
      <w:pPr>
        <w:spacing w:after="0" w:line="2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131" w:lineRule="exact"/>
        <w:rPr>
          <w:sz w:val="20"/>
          <w:szCs w:val="20"/>
          <w:color w:val="auto"/>
        </w:rPr>
      </w:pPr>
    </w:p>
    <w:p>
      <w:pPr>
        <w:ind w:left="940" w:hanging="530"/>
        <w:spacing w:after="0"/>
        <w:tabs>
          <w:tab w:leader="none" w:pos="940"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F-3 No. 333-280286) of Melco Resorts &amp; Entertainment Limited,</w:t>
      </w:r>
    </w:p>
    <w:p>
      <w:pPr>
        <w:spacing w:after="0" w:line="131" w:lineRule="exact"/>
        <w:rPr>
          <w:rFonts w:ascii="Times New Roman" w:cs="Times New Roman" w:eastAsia="Times New Roman" w:hAnsi="Times New Roman"/>
          <w:sz w:val="17"/>
          <w:szCs w:val="17"/>
          <w:color w:val="auto"/>
        </w:rPr>
      </w:pPr>
    </w:p>
    <w:p>
      <w:pPr>
        <w:ind w:left="940" w:right="620" w:hanging="530"/>
        <w:spacing w:after="0" w:line="295" w:lineRule="auto"/>
        <w:tabs>
          <w:tab w:leader="none" w:pos="940"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333-185477) pertaining to the 2011 Share Incentive Plan of Melco Resorts &amp; Entertainment Limited, and</w:t>
      </w:r>
    </w:p>
    <w:p>
      <w:pPr>
        <w:spacing w:after="0" w:line="55" w:lineRule="exact"/>
        <w:rPr>
          <w:rFonts w:ascii="Times New Roman" w:cs="Times New Roman" w:eastAsia="Times New Roman" w:hAnsi="Times New Roman"/>
          <w:sz w:val="17"/>
          <w:szCs w:val="17"/>
          <w:color w:val="auto"/>
        </w:rPr>
      </w:pPr>
    </w:p>
    <w:p>
      <w:pPr>
        <w:ind w:left="940" w:right="620" w:hanging="530"/>
        <w:spacing w:after="0" w:line="295" w:lineRule="auto"/>
        <w:tabs>
          <w:tab w:leader="none" w:pos="940"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333-261554) pertaining to the 2021 Share Incentive Plan of Melco Resorts &amp; Entertainment Limited;</w:t>
      </w:r>
    </w:p>
    <w:p>
      <w:pPr>
        <w:spacing w:after="0" w:line="147"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of our report dated March 22, 2024, (except for Note 22, as to which the date is March 21, 2025), with respect to the consolidated financial statements and schedule of Melco Resorts &amp; Entertainment Limited included in this Annual Report (Form 20-F) for the year ended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sectPr>
      <w:pgSz w:w="11900" w:h="16838" w:orient="portrait"/>
      <w:cols w:equalWidth="0" w:num="1">
        <w:col w:w="10660"/>
      </w:cols>
      <w:pgMar w:left="620" w:top="11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
      <w:numFmt w:val="bullet"/>
      <w:start w:val="1"/>
    </w:lvl>
  </w:abstractNum>
  <w:abstractNum w:abstractNumId="1">
    <w:nsid w:val="3B594807"/>
    <w:multiLevelType w:val="hybridMultilevel"/>
    <w:lvl w:ilvl="0">
      <w:lvlJc w:val="left"/>
      <w:lvlText w:val="☒"/>
      <w:numFmt w:val="bullet"/>
      <w:start w:val="1"/>
    </w:lvl>
  </w:abstractNum>
  <w:abstractNum w:abstractNumId="2">
    <w:nsid w:val="6CAA2304"/>
    <w:multiLevelType w:val="hybridMultilevel"/>
    <w:lvl w:ilvl="0">
      <w:lvlJc w:val="left"/>
      <w:lvlText w:val="☐"/>
      <w:numFmt w:val="bullet"/>
      <w:start w:val="1"/>
    </w:lvl>
  </w:abstractNum>
  <w:abstractNum w:abstractNumId="3">
    <w:nsid w:val="3F7C2FF4"/>
    <w:multiLevelType w:val="hybridMultilevel"/>
    <w:lvl w:ilvl="0">
      <w:lvlJc w:val="left"/>
      <w:lvlText w:val="☐"/>
      <w:numFmt w:val="bullet"/>
      <w:start w:val="1"/>
    </w:lvl>
  </w:abstractNum>
  <w:abstractNum w:abstractNumId="4">
    <w:nsid w:val="25413BEC"/>
    <w:multiLevelType w:val="hybridMultilevel"/>
    <w:lvl w:ilvl="0">
      <w:lvlJc w:val="left"/>
      <w:lvlText w:val="•"/>
      <w:numFmt w:val="bullet"/>
      <w:start w:val="1"/>
    </w:lvl>
  </w:abstractNum>
  <w:abstractNum w:abstractNumId="5">
    <w:nsid w:val="17180B0B"/>
    <w:multiLevelType w:val="hybridMultilevel"/>
    <w:lvl w:ilvl="0">
      <w:lvlJc w:val="left"/>
      <w:lvlText w:val="•"/>
      <w:numFmt w:val="bullet"/>
      <w:start w:val="1"/>
    </w:lvl>
  </w:abstractNum>
  <w:abstractNum w:abstractNumId="6">
    <w:nsid w:val="579328B9"/>
    <w:multiLevelType w:val="hybridMultilevel"/>
    <w:lvl w:ilvl="0">
      <w:lvlJc w:val="left"/>
      <w:lvlText w:val="•"/>
      <w:numFmt w:val="bullet"/>
      <w:start w:val="1"/>
    </w:lvl>
  </w:abstractNum>
  <w:abstractNum w:abstractNumId="7">
    <w:nsid w:val="5D205E20"/>
    <w:multiLevelType w:val="hybridMultilevel"/>
    <w:lvl w:ilvl="0">
      <w:lvlJc w:val="left"/>
      <w:lvlText w:val="•"/>
      <w:numFmt w:val="bullet"/>
      <w:start w:val="1"/>
    </w:lvl>
  </w:abstractNum>
  <w:abstractNum w:abstractNumId="8">
    <w:nsid w:val="11CCA8BA"/>
    <w:multiLevelType w:val="hybridMultilevel"/>
    <w:lvl w:ilvl="0">
      <w:lvlJc w:val="left"/>
      <w:lvlText w:val="•"/>
      <w:numFmt w:val="bullet"/>
      <w:start w:val="1"/>
    </w:lvl>
  </w:abstractNum>
  <w:abstractNum w:abstractNumId="9">
    <w:nsid w:val="4D32AB86"/>
    <w:multiLevelType w:val="hybridMultilevel"/>
    <w:lvl w:ilvl="0">
      <w:lvlJc w:val="left"/>
      <w:lvlText w:val="•"/>
      <w:numFmt w:val="bullet"/>
      <w:start w:val="1"/>
    </w:lvl>
  </w:abstractNum>
  <w:abstractNum w:abstractNumId="10">
    <w:nsid w:val="3F07ACC3"/>
    <w:multiLevelType w:val="hybridMultilevel"/>
    <w:lvl w:ilvl="0">
      <w:lvlJc w:val="left"/>
      <w:lvlText w:val="•"/>
      <w:numFmt w:val="bullet"/>
      <w:start w:val="1"/>
    </w:lvl>
  </w:abstractNum>
  <w:abstractNum w:abstractNumId="11">
    <w:nsid w:val="6B47F63E"/>
    <w:multiLevelType w:val="hybridMultilevel"/>
    <w:lvl w:ilvl="0">
      <w:lvlJc w:val="left"/>
      <w:lvlText w:val="•"/>
      <w:numFmt w:val="bullet"/>
      <w:start w:val="1"/>
    </w:lvl>
  </w:abstractNum>
  <w:abstractNum w:abstractNumId="12">
    <w:nsid w:val="5CB44A05"/>
    <w:multiLevelType w:val="hybridMultilevel"/>
    <w:lvl w:ilvl="0">
      <w:lvlJc w:val="left"/>
      <w:lvlText w:val="•"/>
      <w:numFmt w:val="bullet"/>
      <w:start w:val="1"/>
    </w:lvl>
  </w:abstractNum>
  <w:abstractNum w:abstractNumId="13">
    <w:nsid w:val="16CF80F1"/>
    <w:multiLevelType w:val="hybridMultilevel"/>
    <w:lvl w:ilvl="0">
      <w:lvlJc w:val="left"/>
      <w:lvlText w:val="•"/>
      <w:numFmt w:val="bullet"/>
      <w:start w:val="1"/>
    </w:lvl>
  </w:abstractNum>
  <w:abstractNum w:abstractNumId="14">
    <w:nsid w:val="1C695DEC"/>
    <w:multiLevelType w:val="hybridMultilevel"/>
    <w:lvl w:ilvl="0">
      <w:lvlJc w:val="left"/>
      <w:lvlText w:val="•"/>
      <w:numFmt w:val="bullet"/>
      <w:start w:val="1"/>
    </w:lvl>
  </w:abstractNum>
  <w:abstractNum w:abstractNumId="15">
    <w:nsid w:val="3FCFAED9"/>
    <w:multiLevelType w:val="hybridMultilevel"/>
    <w:lvl w:ilvl="0">
      <w:lvlJc w:val="left"/>
      <w:lvlText w:val="•"/>
      <w:numFmt w:val="bullet"/>
      <w:start w:val="1"/>
    </w:lvl>
  </w:abstractNum>
  <w:abstractNum w:abstractNumId="16">
    <w:nsid w:val="F856867"/>
    <w:multiLevelType w:val="hybridMultilevel"/>
    <w:lvl w:ilvl="0">
      <w:lvlJc w:val="left"/>
      <w:lvlText w:val="•"/>
      <w:numFmt w:val="bullet"/>
      <w:start w:val="1"/>
    </w:lvl>
  </w:abstractNum>
  <w:abstractNum w:abstractNumId="17">
    <w:nsid w:val="11B1CC33"/>
    <w:multiLevelType w:val="hybridMultilevel"/>
    <w:lvl w:ilvl="0">
      <w:lvlJc w:val="left"/>
      <w:lvlText w:val="•"/>
      <w:numFmt w:val="bullet"/>
      <w:start w:val="1"/>
    </w:lvl>
  </w:abstractNum>
  <w:abstractNum w:abstractNumId="18">
    <w:nsid w:val="2E22FBB7"/>
    <w:multiLevelType w:val="hybridMultilevel"/>
    <w:lvl w:ilvl="0">
      <w:lvlJc w:val="left"/>
      <w:lvlText w:val="•"/>
      <w:numFmt w:val="bullet"/>
      <w:start w:val="1"/>
    </w:lvl>
  </w:abstractNum>
  <w:abstractNum w:abstractNumId="19">
    <w:nsid w:val="29934699"/>
    <w:multiLevelType w:val="hybridMultilevel"/>
    <w:lvl w:ilvl="0">
      <w:lvlJc w:val="left"/>
      <w:lvlText w:val="•"/>
      <w:numFmt w:val="bullet"/>
      <w:start w:val="1"/>
    </w:lvl>
  </w:abstractNum>
  <w:abstractNum w:abstractNumId="20">
    <w:nsid w:val="77485850"/>
    <w:multiLevelType w:val="hybridMultilevel"/>
    <w:lvl w:ilvl="0">
      <w:lvlJc w:val="left"/>
      <w:lvlText w:val="•"/>
      <w:numFmt w:val="bullet"/>
      <w:start w:val="1"/>
    </w:lvl>
  </w:abstractNum>
  <w:abstractNum w:abstractNumId="21">
    <w:nsid w:val="744939A3"/>
    <w:multiLevelType w:val="hybridMultilevel"/>
    <w:lvl w:ilvl="0">
      <w:lvlJc w:val="left"/>
      <w:lvlText w:val="•"/>
      <w:numFmt w:val="bullet"/>
      <w:start w:val="1"/>
    </w:lvl>
  </w:abstractNum>
  <w:abstractNum w:abstractNumId="22">
    <w:nsid w:val="4FA0D2E3"/>
    <w:multiLevelType w:val="hybridMultilevel"/>
    <w:lvl w:ilvl="0">
      <w:lvlJc w:val="left"/>
      <w:lvlText w:val="•"/>
      <w:numFmt w:val="bullet"/>
      <w:start w:val="1"/>
    </w:lvl>
  </w:abstractNum>
  <w:abstractNum w:abstractNumId="23">
    <w:nsid w:val="6B1D2C14"/>
    <w:multiLevelType w:val="hybridMultilevel"/>
    <w:lvl w:ilvl="0">
      <w:lvlJc w:val="left"/>
      <w:lvlText w:val="•"/>
      <w:numFmt w:val="bullet"/>
      <w:start w:val="1"/>
    </w:lvl>
  </w:abstractNum>
  <w:abstractNum w:abstractNumId="24">
    <w:nsid w:val="68B867D3"/>
    <w:multiLevelType w:val="hybridMultilevel"/>
    <w:lvl w:ilvl="0">
      <w:lvlJc w:val="left"/>
      <w:lvlText w:val="•"/>
      <w:numFmt w:val="bullet"/>
      <w:start w:val="1"/>
    </w:lvl>
  </w:abstractNum>
  <w:abstractNum w:abstractNumId="25">
    <w:nsid w:val="3F7F5DD9"/>
    <w:multiLevelType w:val="hybridMultilevel"/>
    <w:lvl w:ilvl="0">
      <w:lvlJc w:val="left"/>
      <w:lvlText w:val="•"/>
      <w:numFmt w:val="bullet"/>
      <w:start w:val="1"/>
    </w:lvl>
  </w:abstractNum>
  <w:abstractNum w:abstractNumId="26">
    <w:nsid w:val="2AE05A34"/>
    <w:multiLevelType w:val="hybridMultilevel"/>
    <w:lvl w:ilvl="0">
      <w:lvlJc w:val="left"/>
      <w:lvlText w:val="•"/>
      <w:numFmt w:val="bullet"/>
      <w:start w:val="1"/>
    </w:lvl>
  </w:abstractNum>
  <w:abstractNum w:abstractNumId="27">
    <w:nsid w:val="32794FF7"/>
    <w:multiLevelType w:val="hybridMultilevel"/>
    <w:lvl w:ilvl="0">
      <w:lvlJc w:val="left"/>
      <w:lvlText w:val="•"/>
      <w:numFmt w:val="bullet"/>
      <w:start w:val="1"/>
    </w:lvl>
  </w:abstractNum>
  <w:abstractNum w:abstractNumId="28">
    <w:nsid w:val="5454945E"/>
    <w:multiLevelType w:val="hybridMultilevel"/>
    <w:lvl w:ilvl="0">
      <w:lvlJc w:val="left"/>
      <w:lvlText w:val="(%1)"/>
      <w:numFmt w:val="lowerRoman"/>
      <w:start w:val="1"/>
    </w:lvl>
  </w:abstractNum>
  <w:abstractNum w:abstractNumId="29">
    <w:nsid w:val="4DEFDFA0"/>
    <w:multiLevelType w:val="hybridMultilevel"/>
    <w:lvl w:ilvl="0">
      <w:lvlJc w:val="left"/>
      <w:lvlText w:val="•"/>
      <w:numFmt w:val="bullet"/>
      <w:start w:val="1"/>
    </w:lvl>
  </w:abstractNum>
  <w:abstractNum w:abstractNumId="30">
    <w:nsid w:val="2123D5F2"/>
    <w:multiLevelType w:val="hybridMultilevel"/>
    <w:lvl w:ilvl="0">
      <w:lvlJc w:val="left"/>
      <w:lvlText w:val="•"/>
      <w:numFmt w:val="bullet"/>
      <w:start w:val="1"/>
    </w:lvl>
  </w:abstractNum>
  <w:abstractNum w:abstractNumId="31">
    <w:nsid w:val="135B8110"/>
    <w:multiLevelType w:val="hybridMultilevel"/>
    <w:lvl w:ilvl="0">
      <w:lvlJc w:val="left"/>
      <w:lvlText w:val="•"/>
      <w:numFmt w:val="bullet"/>
      <w:start w:val="1"/>
    </w:lvl>
  </w:abstractNum>
  <w:abstractNum w:abstractNumId="32">
    <w:nsid w:val="94927A8"/>
    <w:multiLevelType w:val="hybridMultilevel"/>
    <w:lvl w:ilvl="0">
      <w:lvlJc w:val="left"/>
      <w:lvlText w:val="•"/>
      <w:numFmt w:val="bullet"/>
      <w:start w:val="1"/>
    </w:lvl>
  </w:abstractNum>
  <w:abstractNum w:abstractNumId="33">
    <w:nsid w:val="DCDF8F6"/>
    <w:multiLevelType w:val="hybridMultilevel"/>
    <w:lvl w:ilvl="0">
      <w:lvlJc w:val="left"/>
      <w:lvlText w:val="•"/>
      <w:numFmt w:val="bullet"/>
      <w:start w:val="1"/>
    </w:lvl>
  </w:abstractNum>
  <w:abstractNum w:abstractNumId="34">
    <w:nsid w:val="52D7B105"/>
    <w:multiLevelType w:val="hybridMultilevel"/>
    <w:lvl w:ilvl="0">
      <w:lvlJc w:val="left"/>
      <w:lvlText w:val="•"/>
      <w:numFmt w:val="bullet"/>
      <w:start w:val="1"/>
    </w:lvl>
  </w:abstractNum>
  <w:abstractNum w:abstractNumId="35">
    <w:nsid w:val="2E8A6394"/>
    <w:multiLevelType w:val="hybridMultilevel"/>
    <w:lvl w:ilvl="0">
      <w:lvlJc w:val="left"/>
      <w:lvlText w:val="•"/>
      <w:numFmt w:val="bullet"/>
      <w:start w:val="1"/>
    </w:lvl>
  </w:abstractNum>
  <w:abstractNum w:abstractNumId="36">
    <w:nsid w:val="24E60401"/>
    <w:multiLevelType w:val="hybridMultilevel"/>
    <w:lvl w:ilvl="0">
      <w:lvlJc w:val="left"/>
      <w:lvlText w:val="•"/>
      <w:numFmt w:val="bullet"/>
      <w:start w:val="1"/>
    </w:lvl>
  </w:abstractNum>
  <w:abstractNum w:abstractNumId="37">
    <w:nsid w:val="2A6AD9BE"/>
    <w:multiLevelType w:val="hybridMultilevel"/>
    <w:lvl w:ilvl="0">
      <w:lvlJc w:val="left"/>
      <w:lvlText w:val="•"/>
      <w:numFmt w:val="bullet"/>
      <w:start w:val="1"/>
    </w:lvl>
  </w:abstractNum>
  <w:abstractNum w:abstractNumId="38">
    <w:nsid w:val="BAAC1B4"/>
    <w:multiLevelType w:val="hybridMultilevel"/>
    <w:lvl w:ilvl="0">
      <w:lvlJc w:val="left"/>
      <w:lvlText w:val="•"/>
      <w:numFmt w:val="bullet"/>
      <w:start w:val="1"/>
    </w:lvl>
  </w:abstractNum>
  <w:abstractNum w:abstractNumId="39">
    <w:nsid w:val="36B2ACBC"/>
    <w:multiLevelType w:val="hybridMultilevel"/>
    <w:lvl w:ilvl="0">
      <w:lvlJc w:val="left"/>
      <w:lvlText w:val="•"/>
      <w:numFmt w:val="bullet"/>
      <w:start w:val="1"/>
    </w:lvl>
  </w:abstractNum>
  <w:abstractNum w:abstractNumId="40">
    <w:nsid w:val="779D8544"/>
    <w:multiLevelType w:val="hybridMultilevel"/>
    <w:lvl w:ilvl="0">
      <w:lvlJc w:val="left"/>
      <w:lvlText w:val="•"/>
      <w:numFmt w:val="bullet"/>
      <w:start w:val="1"/>
    </w:lvl>
  </w:abstractNum>
  <w:abstractNum w:abstractNumId="41">
    <w:nsid w:val="4AB26E78"/>
    <w:multiLevelType w:val="hybridMultilevel"/>
    <w:lvl w:ilvl="0">
      <w:lvlJc w:val="left"/>
      <w:lvlText w:val="•"/>
      <w:numFmt w:val="bullet"/>
      <w:start w:val="1"/>
    </w:lvl>
  </w:abstractNum>
  <w:abstractNum w:abstractNumId="42">
    <w:nsid w:val="21FAA2FA"/>
    <w:multiLevelType w:val="hybridMultilevel"/>
    <w:lvl w:ilvl="0">
      <w:lvlJc w:val="left"/>
      <w:lvlText w:val="•"/>
      <w:numFmt w:val="bullet"/>
      <w:start w:val="1"/>
    </w:lvl>
  </w:abstractNum>
  <w:abstractNum w:abstractNumId="43">
    <w:nsid w:val="5451CF49"/>
    <w:multiLevelType w:val="hybridMultilevel"/>
    <w:lvl w:ilvl="0">
      <w:lvlJc w:val="left"/>
      <w:lvlText w:val="\emdash "/>
      <w:numFmt w:val="bullet"/>
      <w:start w:val="1"/>
    </w:lvl>
  </w:abstractNum>
  <w:abstractNum w:abstractNumId="44">
    <w:nsid w:val="6181EF69"/>
    <w:multiLevelType w:val="hybridMultilevel"/>
    <w:lvl w:ilvl="0">
      <w:lvlJc w:val="left"/>
      <w:lvlText w:val="•"/>
      <w:numFmt w:val="bullet"/>
      <w:start w:val="1"/>
    </w:lvl>
  </w:abstractNum>
  <w:abstractNum w:abstractNumId="45">
    <w:nsid w:val="3E6400E6"/>
    <w:multiLevelType w:val="hybridMultilevel"/>
    <w:lvl w:ilvl="0">
      <w:lvlJc w:val="left"/>
      <w:lvlText w:val="•"/>
      <w:numFmt w:val="bullet"/>
      <w:start w:val="1"/>
    </w:lvl>
  </w:abstractNum>
  <w:abstractNum w:abstractNumId="46">
    <w:nsid w:val="14217E23"/>
    <w:multiLevelType w:val="hybridMultilevel"/>
    <w:lvl w:ilvl="0">
      <w:lvlJc w:val="left"/>
      <w:lvlText w:val="•"/>
      <w:numFmt w:val="bullet"/>
      <w:start w:val="1"/>
    </w:lvl>
  </w:abstractNum>
  <w:abstractNum w:abstractNumId="47">
    <w:nsid w:val="710757D0"/>
    <w:multiLevelType w:val="hybridMultilevel"/>
    <w:lvl w:ilvl="0">
      <w:lvlJc w:val="left"/>
      <w:lvlText w:val="•"/>
      <w:numFmt w:val="bullet"/>
      <w:start w:val="1"/>
    </w:lvl>
  </w:abstractNum>
  <w:abstractNum w:abstractNumId="48">
    <w:nsid w:val="5015CD1A"/>
    <w:multiLevelType w:val="hybridMultilevel"/>
    <w:lvl w:ilvl="0">
      <w:lvlJc w:val="left"/>
      <w:lvlText w:val="•"/>
      <w:numFmt w:val="bullet"/>
      <w:start w:val="1"/>
    </w:lvl>
  </w:abstractNum>
  <w:abstractNum w:abstractNumId="49">
    <w:nsid w:val="424479DA"/>
    <w:multiLevelType w:val="hybridMultilevel"/>
    <w:lvl w:ilvl="0">
      <w:lvlJc w:val="left"/>
      <w:lvlText w:val="•"/>
      <w:numFmt w:val="bullet"/>
      <w:start w:val="1"/>
    </w:lvl>
  </w:abstractNum>
  <w:abstractNum w:abstractNumId="50">
    <w:nsid w:val="1A9A9E69"/>
    <w:multiLevelType w:val="hybridMultilevel"/>
    <w:lvl w:ilvl="0">
      <w:lvlJc w:val="left"/>
      <w:lvlText w:val="•"/>
      <w:numFmt w:val="bullet"/>
      <w:start w:val="1"/>
    </w:lvl>
  </w:abstractNum>
  <w:abstractNum w:abstractNumId="51">
    <w:nsid w:val="475E256A"/>
    <w:multiLevelType w:val="hybridMultilevel"/>
    <w:lvl w:ilvl="0">
      <w:lvlJc w:val="left"/>
      <w:lvlText w:val="•"/>
      <w:numFmt w:val="bullet"/>
      <w:start w:val="1"/>
    </w:lvl>
  </w:abstractNum>
  <w:abstractNum w:abstractNumId="52">
    <w:nsid w:val="368DB37E"/>
    <w:multiLevelType w:val="hybridMultilevel"/>
    <w:lvl w:ilvl="0">
      <w:lvlJc w:val="left"/>
      <w:lvlText w:val="•"/>
      <w:numFmt w:val="bullet"/>
      <w:start w:val="1"/>
    </w:lvl>
    <w:lvl w:ilvl="1">
      <w:lvlJc w:val="left"/>
      <w:lvlText w:val="•"/>
      <w:numFmt w:val="bullet"/>
      <w:start w:val="1"/>
    </w:lvl>
  </w:abstractNum>
  <w:abstractNum w:abstractNumId="53">
    <w:nsid w:val="6A3B714C"/>
    <w:multiLevelType w:val="hybridMultilevel"/>
    <w:lvl w:ilvl="0">
      <w:lvlJc w:val="left"/>
      <w:lvlText w:val="•"/>
      <w:numFmt w:val="bullet"/>
      <w:start w:val="1"/>
    </w:lvl>
  </w:abstractNum>
  <w:abstractNum w:abstractNumId="54">
    <w:nsid w:val="327B517E"/>
    <w:multiLevelType w:val="hybridMultilevel"/>
    <w:lvl w:ilvl="0">
      <w:lvlJc w:val="left"/>
      <w:lvlText w:val="•"/>
      <w:numFmt w:val="bullet"/>
      <w:start w:val="1"/>
    </w:lvl>
  </w:abstractNum>
  <w:abstractNum w:abstractNumId="55">
    <w:nsid w:val="1F461B51"/>
    <w:multiLevelType w:val="hybridMultilevel"/>
    <w:lvl w:ilvl="0">
      <w:lvlJc w:val="left"/>
      <w:lvlText w:val="•"/>
      <w:numFmt w:val="bullet"/>
      <w:start w:val="1"/>
    </w:lvl>
  </w:abstractNum>
  <w:abstractNum w:abstractNumId="56">
    <w:nsid w:val="29BACF25"/>
    <w:multiLevelType w:val="hybridMultilevel"/>
    <w:lvl w:ilvl="0">
      <w:lvlJc w:val="left"/>
      <w:lvlText w:val="•"/>
      <w:numFmt w:val="bullet"/>
      <w:start w:val="1"/>
    </w:lvl>
  </w:abstractNum>
  <w:abstractNum w:abstractNumId="57">
    <w:nsid w:val="5D5BABB3"/>
    <w:multiLevelType w:val="hybridMultilevel"/>
    <w:lvl w:ilvl="0">
      <w:lvlJc w:val="left"/>
      <w:lvlText w:val="•"/>
      <w:numFmt w:val="bullet"/>
      <w:start w:val="1"/>
    </w:lvl>
  </w:abstractNum>
  <w:abstractNum w:abstractNumId="58">
    <w:nsid w:val="51BF6B48"/>
    <w:multiLevelType w:val="hybridMultilevel"/>
    <w:lvl w:ilvl="0">
      <w:lvlJc w:val="left"/>
      <w:lvlText w:val="(%1)"/>
      <w:numFmt w:val="lowerRoman"/>
      <w:start w:val="1"/>
    </w:lvl>
  </w:abstractNum>
  <w:abstractNum w:abstractNumId="59">
    <w:nsid w:val="7E0F6384"/>
    <w:multiLevelType w:val="hybridMultilevel"/>
    <w:lvl w:ilvl="0">
      <w:lvlJc w:val="left"/>
      <w:lvlText w:val="•"/>
      <w:numFmt w:val="bullet"/>
      <w:start w:val="1"/>
    </w:lvl>
  </w:abstractNum>
  <w:abstractNum w:abstractNumId="60">
    <w:nsid w:val="2B4B8B53"/>
    <w:multiLevelType w:val="hybridMultilevel"/>
    <w:lvl w:ilvl="0">
      <w:lvlJc w:val="left"/>
      <w:lvlText w:val="•"/>
      <w:numFmt w:val="bullet"/>
      <w:start w:val="1"/>
    </w:lvl>
  </w:abstractNum>
  <w:abstractNum w:abstractNumId="61">
    <w:nsid w:val="72E3413A"/>
    <w:multiLevelType w:val="hybridMultilevel"/>
    <w:lvl w:ilvl="0">
      <w:lvlJc w:val="left"/>
      <w:lvlText w:val="•"/>
      <w:numFmt w:val="bullet"/>
      <w:start w:val="1"/>
    </w:lvl>
  </w:abstractNum>
  <w:abstractNum w:abstractNumId="62">
    <w:nsid w:val="116AE494"/>
    <w:multiLevelType w:val="hybridMultilevel"/>
    <w:lvl w:ilvl="0">
      <w:lvlJc w:val="left"/>
      <w:lvlText w:val="•"/>
      <w:numFmt w:val="bullet"/>
      <w:start w:val="1"/>
    </w:lvl>
  </w:abstractNum>
  <w:abstractNum w:abstractNumId="63">
    <w:nsid w:val="3494B2FB"/>
    <w:multiLevelType w:val="hybridMultilevel"/>
    <w:lvl w:ilvl="0">
      <w:lvlJc w:val="left"/>
      <w:lvlText w:val="•"/>
      <w:numFmt w:val="bullet"/>
      <w:start w:val="1"/>
    </w:lvl>
  </w:abstractNum>
  <w:abstractNum w:abstractNumId="64">
    <w:nsid w:val="B13A31"/>
    <w:multiLevelType w:val="hybridMultilevel"/>
    <w:lvl w:ilvl="0">
      <w:lvlJc w:val="left"/>
      <w:lvlText w:val="•"/>
      <w:numFmt w:val="bullet"/>
      <w:start w:val="1"/>
    </w:lvl>
  </w:abstractNum>
  <w:abstractNum w:abstractNumId="65">
    <w:nsid w:val="64429599"/>
    <w:multiLevelType w:val="hybridMultilevel"/>
    <w:lvl w:ilvl="0">
      <w:lvlJc w:val="left"/>
      <w:lvlText w:val="•"/>
      <w:numFmt w:val="bullet"/>
      <w:start w:val="1"/>
    </w:lvl>
  </w:abstractNum>
  <w:abstractNum w:abstractNumId="66">
    <w:nsid w:val="631F1690"/>
    <w:multiLevelType w:val="hybridMultilevel"/>
    <w:lvl w:ilvl="0">
      <w:lvlJc w:val="left"/>
      <w:lvlText w:val="•"/>
      <w:numFmt w:val="bullet"/>
      <w:start w:val="1"/>
    </w:lvl>
  </w:abstractNum>
  <w:abstractNum w:abstractNumId="67">
    <w:nsid w:val="25973E32"/>
    <w:multiLevelType w:val="hybridMultilevel"/>
    <w:lvl w:ilvl="0">
      <w:lvlJc w:val="left"/>
      <w:lvlText w:val="(%1)"/>
      <w:numFmt w:val="decimal"/>
      <w:start w:val="1"/>
    </w:lvl>
  </w:abstractNum>
  <w:abstractNum w:abstractNumId="68">
    <w:nsid w:val="EAD6F57"/>
    <w:multiLevelType w:val="hybridMultilevel"/>
    <w:lvl w:ilvl="0">
      <w:lvlJc w:val="left"/>
      <w:lvlText w:val="•"/>
      <w:numFmt w:val="bullet"/>
      <w:start w:val="1"/>
    </w:lvl>
  </w:abstractNum>
  <w:abstractNum w:abstractNumId="69">
    <w:nsid w:val="6EC9D844"/>
    <w:multiLevelType w:val="hybridMultilevel"/>
    <w:lvl w:ilvl="0">
      <w:lvlJc w:val="left"/>
      <w:lvlText w:val="•"/>
      <w:numFmt w:val="bullet"/>
      <w:start w:val="1"/>
    </w:lvl>
  </w:abstractNum>
  <w:abstractNum w:abstractNumId="70">
    <w:nsid w:val="5C49EAEE"/>
    <w:multiLevelType w:val="hybridMultilevel"/>
    <w:lvl w:ilvl="0">
      <w:lvlJc w:val="left"/>
      <w:lvlText w:val="•"/>
      <w:numFmt w:val="bullet"/>
      <w:start w:val="1"/>
    </w:lvl>
  </w:abstractNum>
  <w:abstractNum w:abstractNumId="71">
    <w:nsid w:val="64AF49B"/>
    <w:multiLevelType w:val="hybridMultilevel"/>
    <w:lvl w:ilvl="0">
      <w:lvlJc w:val="left"/>
      <w:lvlText w:val="•"/>
      <w:numFmt w:val="bullet"/>
      <w:start w:val="1"/>
    </w:lvl>
  </w:abstractNum>
  <w:abstractNum w:abstractNumId="72">
    <w:nsid w:val="397C46BC"/>
    <w:multiLevelType w:val="hybridMultilevel"/>
    <w:lvl w:ilvl="0">
      <w:lvlJc w:val="left"/>
      <w:lvlText w:val="•"/>
      <w:numFmt w:val="bullet"/>
      <w:start w:val="1"/>
    </w:lvl>
  </w:abstractNum>
  <w:abstractNum w:abstractNumId="73">
    <w:nsid w:val="7E448DE9"/>
    <w:multiLevelType w:val="hybridMultilevel"/>
    <w:lvl w:ilvl="0">
      <w:lvlJc w:val="left"/>
      <w:lvlText w:val="•"/>
      <w:numFmt w:val="bullet"/>
      <w:start w:val="1"/>
    </w:lvl>
  </w:abstractNum>
  <w:abstractNum w:abstractNumId="74">
    <w:nsid w:val="5A9CC3E5"/>
    <w:multiLevelType w:val="hybridMultilevel"/>
    <w:lvl w:ilvl="0">
      <w:lvlJc w:val="left"/>
      <w:lvlText w:val="(%1)"/>
      <w:numFmt w:val="decimal"/>
      <w:start w:val="1"/>
    </w:lvl>
  </w:abstractNum>
  <w:abstractNum w:abstractNumId="75">
    <w:nsid w:val="1AFE3625"/>
    <w:multiLevelType w:val="hybridMultilevel"/>
    <w:lvl w:ilvl="0">
      <w:lvlJc w:val="left"/>
      <w:lvlText w:val="(%1)"/>
      <w:numFmt w:val="decimal"/>
      <w:start w:val="1"/>
    </w:lvl>
  </w:abstractNum>
  <w:abstractNum w:abstractNumId="76">
    <w:nsid w:val="3CA88ECF"/>
    <w:multiLevelType w:val="hybridMultilevel"/>
    <w:lvl w:ilvl="0">
      <w:lvlJc w:val="left"/>
      <w:lvlText w:val="(%1)"/>
      <w:numFmt w:val="decimal"/>
      <w:start w:val="1"/>
    </w:lvl>
  </w:abstractNum>
  <w:abstractNum w:abstractNumId="77">
    <w:nsid w:val="6EBE4208"/>
    <w:multiLevelType w:val="hybridMultilevel"/>
    <w:lvl w:ilvl="0">
      <w:lvlJc w:val="left"/>
      <w:lvlText w:val="(%1)"/>
      <w:numFmt w:val="lowerRoman"/>
      <w:start w:val="3"/>
    </w:lvl>
  </w:abstractNum>
  <w:abstractNum w:abstractNumId="78">
    <w:nsid w:val="C058DF5"/>
    <w:multiLevelType w:val="hybridMultilevel"/>
    <w:lvl w:ilvl="0">
      <w:lvlJc w:val="left"/>
      <w:lvlText w:val="(%1)"/>
      <w:numFmt w:val="lowerRoman"/>
      <w:start w:val="6"/>
    </w:lvl>
  </w:abstractNum>
  <w:abstractNum w:abstractNumId="79">
    <w:nsid w:val="CBE5BE9"/>
    <w:multiLevelType w:val="hybridMultilevel"/>
    <w:lvl w:ilvl="0">
      <w:lvlJc w:val="left"/>
      <w:lvlText w:val="(%1)"/>
      <w:numFmt w:val="lowerRoman"/>
      <w:start w:val="3"/>
    </w:lvl>
  </w:abstractNum>
  <w:abstractNum w:abstractNumId="80">
    <w:nsid w:val="3102BBE2"/>
    <w:multiLevelType w:val="hybridMultilevel"/>
    <w:lvl w:ilvl="0">
      <w:lvlJc w:val="left"/>
      <w:lvlText w:val="(%1)"/>
      <w:numFmt w:val="lowerRoman"/>
      <w:start w:val="6"/>
    </w:lvl>
  </w:abstractNum>
  <w:abstractNum w:abstractNumId="81">
    <w:nsid w:val="26A02C5E"/>
    <w:multiLevelType w:val="hybridMultilevel"/>
    <w:lvl w:ilvl="0">
      <w:lvlJc w:val="left"/>
      <w:lvlText w:val="(%1)"/>
      <w:numFmt w:val="decimal"/>
      <w:start w:val="1"/>
    </w:lvl>
  </w:abstractNum>
  <w:abstractNum w:abstractNumId="82">
    <w:nsid w:val="541C8153"/>
    <w:multiLevelType w:val="hybridMultilevel"/>
    <w:lvl w:ilvl="0">
      <w:lvlJc w:val="left"/>
      <w:lvlText w:val="(%1)"/>
      <w:numFmt w:val="decimal"/>
      <w:start w:val="5"/>
    </w:lvl>
  </w:abstractNum>
  <w:abstractNum w:abstractNumId="83">
    <w:nsid w:val="67906F60"/>
    <w:multiLevelType w:val="hybridMultilevel"/>
    <w:lvl w:ilvl="0">
      <w:lvlJc w:val="left"/>
      <w:lvlText w:val="•"/>
      <w:numFmt w:val="bullet"/>
      <w:start w:val="1"/>
    </w:lvl>
  </w:abstractNum>
  <w:abstractNum w:abstractNumId="84">
    <w:nsid w:val="10DB9DAA"/>
    <w:multiLevelType w:val="hybridMultilevel"/>
    <w:lvl w:ilvl="0">
      <w:lvlJc w:val="left"/>
      <w:lvlText w:val="•"/>
      <w:numFmt w:val="bullet"/>
      <w:start w:val="1"/>
    </w:lvl>
  </w:abstractNum>
  <w:abstractNum w:abstractNumId="85">
    <w:nsid w:val="697D2D2"/>
    <w:multiLevelType w:val="hybridMultilevel"/>
    <w:lvl w:ilvl="0">
      <w:lvlJc w:val="left"/>
      <w:lvlText w:val="•"/>
      <w:numFmt w:val="bullet"/>
      <w:start w:val="1"/>
    </w:lvl>
  </w:abstractNum>
  <w:abstractNum w:abstractNumId="86">
    <w:nsid w:val="6D68AB2"/>
    <w:multiLevelType w:val="hybridMultilevel"/>
    <w:lvl w:ilvl="0">
      <w:lvlJc w:val="left"/>
      <w:lvlText w:val="•"/>
      <w:numFmt w:val="bullet"/>
      <w:start w:val="1"/>
    </w:lvl>
  </w:abstractNum>
  <w:abstractNum w:abstractNumId="87">
    <w:nsid w:val="3A966CD0"/>
    <w:multiLevelType w:val="hybridMultilevel"/>
    <w:lvl w:ilvl="0">
      <w:lvlJc w:val="left"/>
      <w:lvlText w:val="•"/>
      <w:numFmt w:val="bullet"/>
      <w:start w:val="1"/>
    </w:lvl>
  </w:abstractNum>
  <w:abstractNum w:abstractNumId="88">
    <w:nsid w:val="63F37E85"/>
    <w:multiLevelType w:val="hybridMultilevel"/>
    <w:lvl w:ilvl="0">
      <w:lvlJc w:val="left"/>
      <w:lvlText w:val="•"/>
      <w:numFmt w:val="bullet"/>
      <w:start w:val="1"/>
    </w:lvl>
  </w:abstractNum>
  <w:abstractNum w:abstractNumId="89">
    <w:nsid w:val="5895F5FA"/>
    <w:multiLevelType w:val="hybridMultilevel"/>
    <w:lvl w:ilvl="0">
      <w:lvlJc w:val="left"/>
      <w:lvlText w:val="•"/>
      <w:numFmt w:val="bullet"/>
      <w:start w:val="1"/>
    </w:lvl>
  </w:abstractNum>
  <w:abstractNum w:abstractNumId="90">
    <w:nsid w:val="38A5D054"/>
    <w:multiLevelType w:val="hybridMultilevel"/>
    <w:lvl w:ilvl="0">
      <w:lvlJc w:val="left"/>
      <w:lvlText w:val="•"/>
      <w:numFmt w:val="bullet"/>
      <w:start w:val="1"/>
    </w:lvl>
  </w:abstractNum>
  <w:abstractNum w:abstractNumId="91">
    <w:nsid w:val="F3F09D8"/>
    <w:multiLevelType w:val="hybridMultilevel"/>
    <w:lvl w:ilvl="0">
      <w:lvlJc w:val="left"/>
      <w:lvlText w:val="•"/>
      <w:numFmt w:val="bullet"/>
      <w:start w:val="1"/>
    </w:lvl>
  </w:abstractNum>
  <w:abstractNum w:abstractNumId="92">
    <w:nsid w:val="4B793735"/>
    <w:multiLevelType w:val="hybridMultilevel"/>
    <w:lvl w:ilvl="0">
      <w:lvlJc w:val="left"/>
      <w:lvlText w:val="•"/>
      <w:numFmt w:val="bullet"/>
      <w:start w:val="1"/>
    </w:lvl>
  </w:abstractNum>
  <w:abstractNum w:abstractNumId="93">
    <w:nsid w:val="4A10B4E8"/>
    <w:multiLevelType w:val="hybridMultilevel"/>
    <w:lvl w:ilvl="0">
      <w:lvlJc w:val="left"/>
      <w:lvlText w:val="•"/>
      <w:numFmt w:val="bullet"/>
      <w:start w:val="1"/>
    </w:lvl>
  </w:abstractNum>
  <w:abstractNum w:abstractNumId="94">
    <w:nsid w:val="43D3BCD4"/>
    <w:multiLevelType w:val="hybridMultilevel"/>
    <w:lvl w:ilvl="0">
      <w:lvlJc w:val="left"/>
      <w:lvlText w:val="•"/>
      <w:numFmt w:val="bullet"/>
      <w:start w:val="1"/>
    </w:lvl>
  </w:abstractNum>
  <w:abstractNum w:abstractNumId="95">
    <w:nsid w:val="4C2A7166"/>
    <w:multiLevelType w:val="hybridMultilevel"/>
    <w:lvl w:ilvl="0">
      <w:lvlJc w:val="left"/>
      <w:lvlText w:val="(%1)"/>
      <w:numFmt w:val="lowerRoman"/>
      <w:start w:val="1"/>
    </w:lvl>
  </w:abstractNum>
  <w:abstractNum w:abstractNumId="96">
    <w:nsid w:val="2E534A82"/>
    <w:multiLevelType w:val="hybridMultilevel"/>
    <w:lvl w:ilvl="0">
      <w:lvlJc w:val="left"/>
      <w:lvlText w:val="(%1)"/>
      <w:numFmt w:val="decimal"/>
      <w:start w:val="1"/>
    </w:lvl>
  </w:abstractNum>
  <w:abstractNum w:abstractNumId="97">
    <w:nsid w:val="26F2D364"/>
    <w:multiLevelType w:val="hybridMultilevel"/>
    <w:lvl w:ilvl="0">
      <w:lvlJc w:val="left"/>
      <w:lvlText w:val="(%1)"/>
      <w:numFmt w:val="decimal"/>
      <w:start w:val="2"/>
    </w:lvl>
  </w:abstractNum>
  <w:abstractNum w:abstractNumId="98">
    <w:nsid w:val="71C1AF98"/>
    <w:multiLevelType w:val="hybridMultilevel"/>
    <w:lvl w:ilvl="0">
      <w:lvlJc w:val="left"/>
      <w:lvlText w:val="*"/>
      <w:numFmt w:val="bullet"/>
      <w:start w:val="1"/>
    </w:lvl>
  </w:abstractNum>
  <w:abstractNum w:abstractNumId="99">
    <w:nsid w:val="3D00B9D9"/>
    <w:multiLevelType w:val="hybridMultilevel"/>
    <w:lvl w:ilvl="0">
      <w:lvlJc w:val="left"/>
      <w:lvlText w:val="(%1)"/>
      <w:numFmt w:val="decimal"/>
      <w:start w:val="1"/>
    </w:lvl>
  </w:abstractNum>
  <w:abstractNum w:abstractNumId="100">
    <w:nsid w:val="15BCABA8"/>
    <w:multiLevelType w:val="hybridMultilevel"/>
    <w:lvl w:ilvl="0">
      <w:lvlJc w:val="left"/>
      <w:lvlText w:val="(%1)"/>
      <w:numFmt w:val="decimal"/>
      <w:start w:val="2"/>
    </w:lvl>
  </w:abstractNum>
  <w:abstractNum w:abstractNumId="101">
    <w:nsid w:val="4E0B9A87"/>
    <w:multiLevelType w:val="hybridMultilevel"/>
    <w:lvl w:ilvl="0">
      <w:lvlJc w:val="left"/>
      <w:lvlText w:val="(%1)"/>
      <w:numFmt w:val="lowerLetter"/>
      <w:start w:val="4"/>
    </w:lvl>
  </w:abstractNum>
  <w:abstractNum w:abstractNumId="102">
    <w:nsid w:val="434BAE75"/>
    <w:multiLevelType w:val="hybridMultilevel"/>
    <w:lvl w:ilvl="0">
      <w:lvlJc w:val="left"/>
      <w:lvlText w:val="(%1)"/>
      <w:numFmt w:val="lowerLetter"/>
      <w:start w:val="4"/>
    </w:lvl>
  </w:abstractNum>
  <w:abstractNum w:abstractNumId="103">
    <w:nsid w:val="4F38F265"/>
    <w:multiLevelType w:val="hybridMultilevel"/>
    <w:lvl w:ilvl="0">
      <w:lvlJc w:val="left"/>
      <w:lvlText w:val="(%1)"/>
      <w:numFmt w:val="decimal"/>
      <w:start w:val="1"/>
    </w:lvl>
  </w:abstractNum>
  <w:abstractNum w:abstractNumId="104">
    <w:nsid w:val="4C502870"/>
    <w:multiLevelType w:val="hybridMultilevel"/>
    <w:lvl w:ilvl="0">
      <w:lvlJc w:val="left"/>
      <w:lvlText w:val="(%1)"/>
      <w:numFmt w:val="decimal"/>
      <w:start w:val="4"/>
    </w:lvl>
  </w:abstractNum>
  <w:abstractNum w:abstractNumId="105">
    <w:nsid w:val="1DE8725A"/>
    <w:multiLevelType w:val="hybridMultilevel"/>
    <w:lvl w:ilvl="0">
      <w:lvlJc w:val="left"/>
      <w:lvlText w:val="•"/>
      <w:numFmt w:val="bullet"/>
      <w:start w:val="1"/>
    </w:lvl>
  </w:abstractNum>
  <w:abstractNum w:abstractNumId="106">
    <w:nsid w:val="6A37288A"/>
    <w:multiLevelType w:val="hybridMultilevel"/>
    <w:lvl w:ilvl="0">
      <w:lvlJc w:val="left"/>
      <w:lvlText w:val="•"/>
      <w:numFmt w:val="bullet"/>
      <w:start w:val="1"/>
    </w:lvl>
  </w:abstractNum>
  <w:abstractNum w:abstractNumId="107">
    <w:nsid w:val="8F8B73F"/>
    <w:multiLevelType w:val="hybridMultilevel"/>
    <w:lvl w:ilvl="0">
      <w:lvlJc w:val="left"/>
      <w:lvlText w:val="•"/>
      <w:numFmt w:val="bullet"/>
      <w:start w:val="1"/>
    </w:lvl>
  </w:abstractNum>
  <w:abstractNum w:abstractNumId="108">
    <w:nsid w:val="CA6B462"/>
    <w:multiLevelType w:val="hybridMultilevel"/>
    <w:lvl w:ilvl="0">
      <w:lvlJc w:val="left"/>
      <w:lvlText w:val="•"/>
      <w:numFmt w:val="bullet"/>
      <w:start w:val="1"/>
    </w:lvl>
  </w:abstractNum>
  <w:abstractNum w:abstractNumId="109">
    <w:nsid w:val="763CB680"/>
    <w:multiLevelType w:val="hybridMultilevel"/>
    <w:lvl w:ilvl="0">
      <w:lvlJc w:val="left"/>
      <w:lvlText w:val="•"/>
      <w:numFmt w:val="bullet"/>
      <w:start w:val="1"/>
    </w:lvl>
  </w:abstractNum>
  <w:abstractNum w:abstractNumId="110">
    <w:nsid w:val="15B71329"/>
    <w:multiLevelType w:val="hybridMultilevel"/>
    <w:lvl w:ilvl="0">
      <w:lvlJc w:val="left"/>
      <w:lvlText w:val="•"/>
      <w:numFmt w:val="bullet"/>
      <w:start w:val="1"/>
    </w:lvl>
  </w:abstractNum>
  <w:abstractNum w:abstractNumId="111">
    <w:nsid w:val="3DA97044"/>
    <w:multiLevelType w:val="hybridMultilevel"/>
    <w:lvl w:ilvl="0">
      <w:lvlJc w:val="left"/>
      <w:lvlText w:val="•"/>
      <w:numFmt w:val="bullet"/>
      <w:start w:val="1"/>
    </w:lvl>
  </w:abstractNum>
  <w:abstractNum w:abstractNumId="112">
    <w:nsid w:val="1CDCE2DE"/>
    <w:multiLevelType w:val="hybridMultilevel"/>
    <w:lvl w:ilvl="0">
      <w:lvlJc w:val="left"/>
      <w:lvlText w:val="•"/>
      <w:numFmt w:val="bullet"/>
      <w:start w:val="1"/>
    </w:lvl>
  </w:abstractNum>
  <w:abstractNum w:abstractNumId="113">
    <w:nsid w:val="69D3947C"/>
    <w:multiLevelType w:val="hybridMultilevel"/>
    <w:lvl w:ilvl="0">
      <w:lvlJc w:val="left"/>
      <w:lvlText w:val="•"/>
      <w:numFmt w:val="bullet"/>
      <w:start w:val="1"/>
    </w:lvl>
  </w:abstractNum>
  <w:abstractNum w:abstractNumId="114">
    <w:nsid w:val="2539DFA5"/>
    <w:multiLevelType w:val="hybridMultilevel"/>
    <w:lvl w:ilvl="0">
      <w:lvlJc w:val="left"/>
      <w:lvlText w:val="•"/>
      <w:numFmt w:val="bullet"/>
      <w:start w:val="1"/>
    </w:lvl>
  </w:abstractNum>
  <w:abstractNum w:abstractNumId="115">
    <w:nsid w:val="2DB88089"/>
    <w:multiLevelType w:val="hybridMultilevel"/>
    <w:lvl w:ilvl="0">
      <w:lvlJc w:val="left"/>
      <w:lvlText w:val="•"/>
      <w:numFmt w:val="bullet"/>
      <w:start w:val="1"/>
    </w:lvl>
  </w:abstractNum>
  <w:abstractNum w:abstractNumId="116">
    <w:nsid w:val="706B674E"/>
    <w:multiLevelType w:val="hybridMultilevel"/>
    <w:lvl w:ilvl="0">
      <w:lvlJc w:val="left"/>
      <w:lvlText w:val="•"/>
      <w:numFmt w:val="bullet"/>
      <w:start w:val="1"/>
    </w:lvl>
  </w:abstractNum>
  <w:abstractNum w:abstractNumId="117">
    <w:nsid w:val="2C106A57"/>
    <w:multiLevelType w:val="hybridMultilevel"/>
    <w:lvl w:ilvl="0">
      <w:lvlJc w:val="left"/>
      <w:lvlText w:val="•"/>
      <w:numFmt w:val="bullet"/>
      <w:start w:val="1"/>
    </w:lvl>
  </w:abstractNum>
  <w:abstractNum w:abstractNumId="118">
    <w:nsid w:val="684EED59"/>
    <w:multiLevelType w:val="hybridMultilevel"/>
    <w:lvl w:ilvl="0">
      <w:lvlJc w:val="left"/>
      <w:lvlText w:val="•"/>
      <w:numFmt w:val="bullet"/>
      <w:start w:val="1"/>
    </w:lvl>
  </w:abstractNum>
  <w:abstractNum w:abstractNumId="119">
    <w:nsid w:val="545EE5D3"/>
    <w:multiLevelType w:val="hybridMultilevel"/>
    <w:lvl w:ilvl="0">
      <w:lvlJc w:val="left"/>
      <w:lvlText w:val="•"/>
      <w:numFmt w:val="bullet"/>
      <w:start w:val="1"/>
    </w:lvl>
  </w:abstractNum>
  <w:abstractNum w:abstractNumId="120">
    <w:nsid w:val="4A66051"/>
    <w:multiLevelType w:val="hybridMultilevel"/>
    <w:lvl w:ilvl="0">
      <w:lvlJc w:val="left"/>
      <w:lvlText w:val="•"/>
      <w:numFmt w:val="bullet"/>
      <w:start w:val="1"/>
    </w:lvl>
  </w:abstractNum>
  <w:abstractNum w:abstractNumId="121">
    <w:nsid w:val="20F4BDAD"/>
    <w:multiLevelType w:val="hybridMultilevel"/>
    <w:lvl w:ilvl="0">
      <w:lvlJc w:val="left"/>
      <w:lvlText w:val="(%1)"/>
      <w:numFmt w:val="lowerRoman"/>
      <w:start w:val="1"/>
    </w:lvl>
  </w:abstractNum>
  <w:abstractNum w:abstractNumId="122">
    <w:nsid w:val="639DEFAC"/>
    <w:multiLevelType w:val="hybridMultilevel"/>
    <w:lvl w:ilvl="0">
      <w:lvlJc w:val="left"/>
      <w:lvlText w:val="•"/>
      <w:numFmt w:val="bullet"/>
      <w:start w:val="1"/>
    </w:lvl>
  </w:abstractNum>
  <w:abstractNum w:abstractNumId="123">
    <w:nsid w:val="501F9786"/>
    <w:multiLevelType w:val="hybridMultilevel"/>
    <w:lvl w:ilvl="0">
      <w:lvlJc w:val="left"/>
      <w:lvlText w:val="(%1)"/>
      <w:numFmt w:val="decimal"/>
      <w:start w:val="1"/>
    </w:lvl>
  </w:abstractNum>
  <w:abstractNum w:abstractNumId="124">
    <w:nsid w:val="6B057295"/>
    <w:multiLevelType w:val="hybridMultilevel"/>
    <w:lvl w:ilvl="0">
      <w:lvlJc w:val="left"/>
      <w:lvlText w:val="(%1)"/>
      <w:numFmt w:val="decimal"/>
      <w:start w:val="3"/>
    </w:lvl>
  </w:abstractNum>
  <w:abstractNum w:abstractNumId="125">
    <w:nsid w:val="2771AC80"/>
    <w:multiLevelType w:val="hybridMultilevel"/>
    <w:lvl w:ilvl="0">
      <w:lvlJc w:val="left"/>
      <w:lvlText w:val="(%1)"/>
      <w:numFmt w:val="decimal"/>
      <w:start w:val="1"/>
    </w:lvl>
  </w:abstractNum>
  <w:abstractNum w:abstractNumId="126">
    <w:nsid w:val="1C4A08EC"/>
    <w:multiLevelType w:val="hybridMultilevel"/>
    <w:lvl w:ilvl="0">
      <w:lvlJc w:val="left"/>
      <w:lvlText w:val="(%1)"/>
      <w:numFmt w:val="decimal"/>
      <w:start w:val="1"/>
    </w:lvl>
  </w:abstractNum>
  <w:abstractNum w:abstractNumId="127">
    <w:nsid w:val="1958BD17"/>
    <w:multiLevelType w:val="hybridMultilevel"/>
    <w:lvl w:ilvl="0">
      <w:lvlJc w:val="left"/>
      <w:lvlText w:val="(%1)"/>
      <w:numFmt w:val="lowerRoman"/>
      <w:start w:val="2"/>
    </w:lvl>
  </w:abstractNum>
  <w:abstractNum w:abstractNumId="128">
    <w:nsid w:val="4E647FE4"/>
    <w:multiLevelType w:val="hybridMultilevel"/>
    <w:lvl w:ilvl="0">
      <w:lvlJc w:val="left"/>
      <w:lvlText w:val="•"/>
      <w:numFmt w:val="bullet"/>
      <w:start w:val="1"/>
    </w:lvl>
  </w:abstractNum>
  <w:abstractNum w:abstractNumId="129">
    <w:nsid w:val="E0BB885"/>
    <w:multiLevelType w:val="hybridMultilevel"/>
    <w:lvl w:ilvl="0">
      <w:lvlJc w:val="left"/>
      <w:lvlText w:val=" "/>
      <w:numFmt w:val="bullet"/>
      <w:start w:val="1"/>
    </w:lvl>
  </w:abstractNum>
  <w:abstractNum w:abstractNumId="130">
    <w:nsid w:val="565976F1"/>
    <w:multiLevelType w:val="hybridMultilevel"/>
    <w:lvl w:ilvl="0">
      <w:lvlJc w:val="left"/>
      <w:lvlText w:val=" "/>
      <w:numFmt w:val="bullet"/>
      <w:start w:val="1"/>
    </w:lvl>
  </w:abstractNum>
  <w:abstractNum w:abstractNumId="131">
    <w:nsid w:val="64212B8C"/>
    <w:multiLevelType w:val="hybridMultilevel"/>
    <w:lvl w:ilvl="0">
      <w:lvlJc w:val="left"/>
      <w:lvlText w:val=" "/>
      <w:numFmt w:val="bullet"/>
      <w:start w:val="1"/>
    </w:lvl>
  </w:abstractNum>
  <w:abstractNum w:abstractNumId="132">
    <w:nsid w:val="5C17530C"/>
    <w:multiLevelType w:val="hybridMultilevel"/>
    <w:lvl w:ilvl="0">
      <w:lvlJc w:val="left"/>
      <w:lvlText w:val="%1"/>
      <w:numFmt w:val="decimal"/>
      <w:start w:val="104"/>
    </w:lvl>
  </w:abstractNum>
  <w:abstractNum w:abstractNumId="133">
    <w:nsid w:val="19A52566"/>
    <w:multiLevelType w:val="hybridMultilevel"/>
    <w:lvl w:ilvl="0">
      <w:lvlJc w:val="left"/>
      <w:lvlText w:val="**"/>
      <w:numFmt w:val="bullet"/>
      <w:start w:val="1"/>
    </w:lvl>
  </w:abstractNum>
  <w:abstractNum w:abstractNumId="134">
    <w:nsid w:val="335A1DF1"/>
    <w:multiLevelType w:val="hybridMultilevel"/>
    <w:lvl w:ilvl="0">
      <w:lvlJc w:val="left"/>
      <w:lvlText w:val="(%1)"/>
      <w:numFmt w:val="decimal"/>
      <w:start w:val="2"/>
    </w:lvl>
  </w:abstractNum>
  <w:abstractNum w:abstractNumId="135">
    <w:nsid w:val="28677B7C"/>
    <w:multiLevelType w:val="hybridMultilevel"/>
    <w:lvl w:ilvl="0">
      <w:lvlJc w:val="left"/>
      <w:lvlText w:val="•"/>
      <w:numFmt w:val="bullet"/>
      <w:start w:val="1"/>
    </w:lvl>
    <w:lvl w:ilvl="1">
      <w:lvlJc w:val="left"/>
      <w:lvlText w:val="•"/>
      <w:numFmt w:val="bullet"/>
      <w:start w:val="1"/>
    </w:lvl>
  </w:abstractNum>
  <w:abstractNum w:abstractNumId="136">
    <w:nsid w:val="378D97C0"/>
    <w:multiLevelType w:val="hybridMultilevel"/>
    <w:lvl w:ilvl="0">
      <w:lvlJc w:val="left"/>
      <w:lvlText w:val="%1."/>
      <w:numFmt w:val="decimal"/>
      <w:start w:val="1"/>
    </w:lvl>
    <w:lvl w:ilvl="1">
      <w:lvlJc w:val="left"/>
      <w:lvlText w:val="(%2)"/>
      <w:numFmt w:val="lowerLetter"/>
      <w:start w:val="1"/>
    </w:lvl>
  </w:abstractNum>
  <w:abstractNum w:abstractNumId="137">
    <w:nsid w:val="1D91467C"/>
    <w:multiLevelType w:val="hybridMultilevel"/>
    <w:lvl w:ilvl="0">
      <w:lvlJc w:val="left"/>
      <w:lvlText w:val="%1."/>
      <w:numFmt w:val="decimal"/>
      <w:start w:val="1"/>
    </w:lvl>
    <w:lvl w:ilvl="1">
      <w:lvlJc w:val="left"/>
      <w:lvlText w:val="(%2)"/>
      <w:numFmt w:val="lowerLetter"/>
      <w:start w:val="2"/>
    </w:lvl>
  </w:abstractNum>
  <w:abstractNum w:abstractNumId="138">
    <w:nsid w:val="316032BB"/>
    <w:multiLevelType w:val="hybridMultilevel"/>
    <w:lvl w:ilvl="0">
      <w:lvlJc w:val="left"/>
      <w:lvlText w:val="%1"/>
      <w:numFmt w:val="decimal"/>
      <w:start w:val="1"/>
    </w:lvl>
    <w:lvl w:ilvl="1">
      <w:lvlJc w:val="left"/>
      <w:lvlText w:val="(%2)"/>
      <w:numFmt w:val="lowerLetter"/>
      <w:start w:val="1"/>
    </w:lvl>
  </w:abstractNum>
  <w:abstractNum w:abstractNumId="139">
    <w:nsid w:val="44344C22"/>
    <w:multiLevelType w:val="hybridMultilevel"/>
    <w:lvl w:ilvl="0">
      <w:lvlJc w:val="left"/>
      <w:lvlText w:val="%1."/>
      <w:numFmt w:val="decimal"/>
      <w:start w:val="2"/>
    </w:lvl>
    <w:lvl w:ilvl="1">
      <w:lvlJc w:val="left"/>
      <w:lvlText w:val="(%2)"/>
      <w:numFmt w:val="lowerLetter"/>
      <w:start w:val="5"/>
    </w:lvl>
  </w:abstractNum>
  <w:abstractNum w:abstractNumId="140">
    <w:nsid w:val="13CDFCFC"/>
    <w:multiLevelType w:val="hybridMultilevel"/>
    <w:lvl w:ilvl="0">
      <w:lvlJc w:val="left"/>
      <w:lvlText w:val="%1."/>
      <w:numFmt w:val="decimal"/>
      <w:start w:val="2"/>
    </w:lvl>
    <w:lvl w:ilvl="1">
      <w:lvlJc w:val="left"/>
      <w:lvlText w:val="(%2)"/>
      <w:numFmt w:val="lowerRoman"/>
      <w:start w:val="1"/>
    </w:lvl>
  </w:abstractNum>
  <w:abstractNum w:abstractNumId="141">
    <w:nsid w:val="471745E4"/>
    <w:multiLevelType w:val="hybridMultilevel"/>
    <w:lvl w:ilvl="0">
      <w:lvlJc w:val="left"/>
      <w:lvlText w:val="(%1)"/>
      <w:numFmt w:val="lowerLetter"/>
      <w:start w:val="10"/>
    </w:lvl>
  </w:abstractNum>
  <w:abstractNum w:abstractNumId="142">
    <w:nsid w:val="1DDBC66"/>
    <w:multiLevelType w:val="hybridMultilevel"/>
    <w:lvl w:ilvl="0">
      <w:lvlJc w:val="left"/>
      <w:lvlText w:val="%1."/>
      <w:numFmt w:val="decimal"/>
      <w:start w:val="2"/>
    </w:lvl>
    <w:lvl w:ilvl="1">
      <w:lvlJc w:val="left"/>
      <w:lvlText w:val="(%2)"/>
      <w:numFmt w:val="lowerLetter"/>
      <w:start w:val="11"/>
    </w:lvl>
  </w:abstractNum>
  <w:abstractNum w:abstractNumId="143">
    <w:nsid w:val="30AADFDA"/>
    <w:multiLevelType w:val="hybridMultilevel"/>
    <w:lvl w:ilvl="0">
      <w:lvlJc w:val="left"/>
      <w:lvlText w:val="%1."/>
      <w:numFmt w:val="decimal"/>
      <w:start w:val="2"/>
    </w:lvl>
    <w:lvl w:ilvl="1">
      <w:lvlJc w:val="left"/>
      <w:lvlText w:val="(%2)"/>
      <w:numFmt w:val="lowerLetter"/>
      <w:start w:val="11"/>
    </w:lvl>
  </w:abstractNum>
  <w:abstractNum w:abstractNumId="144">
    <w:nsid w:val="30EADA61"/>
    <w:multiLevelType w:val="hybridMultilevel"/>
    <w:lvl w:ilvl="0">
      <w:lvlJc w:val="left"/>
      <w:lvlText w:val="%1."/>
      <w:numFmt w:val="decimal"/>
      <w:start w:val="2"/>
    </w:lvl>
    <w:lvl w:ilvl="1">
      <w:lvlJc w:val="left"/>
      <w:lvlText w:val="(%2)"/>
      <w:numFmt w:val="lowerLetter"/>
      <w:start w:val="13"/>
    </w:lvl>
  </w:abstractNum>
  <w:abstractNum w:abstractNumId="145">
    <w:nsid w:val="27179C0B"/>
    <w:multiLevelType w:val="hybridMultilevel"/>
    <w:lvl w:ilvl="0">
      <w:lvlJc w:val="left"/>
      <w:lvlText w:val="%1."/>
      <w:numFmt w:val="decimal"/>
      <w:start w:val="2"/>
    </w:lvl>
    <w:lvl w:ilvl="1">
      <w:lvlJc w:val="left"/>
      <w:lvlText w:val="(%2)"/>
      <w:numFmt w:val="lowerLetter"/>
      <w:start w:val="16"/>
    </w:lvl>
  </w:abstractNum>
  <w:abstractNum w:abstractNumId="146">
    <w:nsid w:val="5E636063"/>
    <w:multiLevelType w:val="hybridMultilevel"/>
    <w:lvl w:ilvl="0">
      <w:lvlJc w:val="left"/>
      <w:lvlText w:val="%1."/>
      <w:numFmt w:val="decimal"/>
      <w:start w:val="2"/>
    </w:lvl>
    <w:lvl w:ilvl="1">
      <w:lvlJc w:val="left"/>
      <w:lvlText w:val="(%2)"/>
      <w:numFmt w:val="lowerLetter"/>
      <w:start w:val="16"/>
    </w:lvl>
  </w:abstractNum>
  <w:abstractNum w:abstractNumId="147">
    <w:nsid w:val="215641AF"/>
    <w:multiLevelType w:val="hybridMultilevel"/>
    <w:lvl w:ilvl="0">
      <w:lvlJc w:val="left"/>
      <w:lvlText w:val="%1."/>
      <w:numFmt w:val="decimal"/>
      <w:start w:val="2"/>
    </w:lvl>
    <w:lvl w:ilvl="1">
      <w:lvlJc w:val="left"/>
      <w:lvlText w:val="(%2)"/>
      <w:numFmt w:val="lowerLetter"/>
      <w:start w:val="16"/>
    </w:lvl>
  </w:abstractNum>
  <w:abstractNum w:abstractNumId="148">
    <w:nsid w:val="53280662"/>
    <w:multiLevelType w:val="hybridMultilevel"/>
    <w:lvl w:ilvl="0">
      <w:lvlJc w:val="left"/>
      <w:lvlText w:val="(%1)"/>
      <w:numFmt w:val="lowerLetter"/>
      <w:start w:val="17"/>
    </w:lvl>
  </w:abstractNum>
  <w:abstractNum w:abstractNumId="149">
    <w:nsid w:val="46B24DBC"/>
    <w:multiLevelType w:val="hybridMultilevel"/>
    <w:lvl w:ilvl="0">
      <w:lvlJc w:val="left"/>
      <w:lvlText w:val="%1."/>
      <w:numFmt w:val="decimal"/>
      <w:start w:val="2"/>
    </w:lvl>
    <w:lvl w:ilvl="1">
      <w:lvlJc w:val="left"/>
      <w:lvlText w:val="(%2)"/>
      <w:numFmt w:val="lowerLetter"/>
      <w:start w:val="22"/>
    </w:lvl>
  </w:abstractNum>
  <w:abstractNum w:abstractNumId="150">
    <w:nsid w:val="75B52783"/>
    <w:multiLevelType w:val="hybridMultilevel"/>
    <w:lvl w:ilvl="0">
      <w:lvlJc w:val="left"/>
      <w:lvlText w:val="%1."/>
      <w:numFmt w:val="decimal"/>
      <w:start w:val="2"/>
    </w:lvl>
    <w:lvl w:ilvl="1">
      <w:lvlJc w:val="left"/>
      <w:lvlText w:val="(%2)"/>
      <w:numFmt w:val="lowerRoman"/>
      <w:start w:val="10"/>
    </w:lvl>
    <w:lvl w:ilvl="2">
      <w:lvlJc w:val="left"/>
      <w:lvlText w:val="(%3)"/>
      <w:numFmt w:val="decimal"/>
      <w:start w:val="1"/>
    </w:lvl>
  </w:abstractNum>
  <w:abstractNum w:abstractNumId="151">
    <w:nsid w:val="57CE66B4"/>
    <w:multiLevelType w:val="hybridMultilevel"/>
    <w:lvl w:ilvl="0">
      <w:lvlJc w:val="left"/>
      <w:lvlText w:val="(%1)"/>
      <w:numFmt w:val="lowerLetter"/>
      <w:start w:val="25"/>
    </w:lvl>
  </w:abstractNum>
  <w:abstractNum w:abstractNumId="152">
    <w:nsid w:val="67A70B69"/>
    <w:multiLevelType w:val="hybridMultilevel"/>
    <w:lvl w:ilvl="0">
      <w:lvlJc w:val="left"/>
      <w:lvlText w:val="(%1)"/>
      <w:numFmt w:val="lowerLetter"/>
      <w:start w:val="27"/>
    </w:lvl>
  </w:abstractNum>
  <w:abstractNum w:abstractNumId="153">
    <w:nsid w:val="5953172F"/>
    <w:multiLevelType w:val="hybridMultilevel"/>
    <w:lvl w:ilvl="0">
      <w:lvlJc w:val="left"/>
      <w:lvlText w:val="%1."/>
      <w:numFmt w:val="decimal"/>
      <w:start w:val="2"/>
    </w:lvl>
    <w:lvl w:ilvl="1">
      <w:lvlJc w:val="left"/>
      <w:lvlText w:val="(%2)"/>
      <w:numFmt w:val="lowerLetter"/>
      <w:start w:val="27"/>
    </w:lvl>
  </w:abstractNum>
  <w:abstractNum w:abstractNumId="154">
    <w:nsid w:val="27EDFE3A"/>
    <w:multiLevelType w:val="hybridMultilevel"/>
    <w:lvl w:ilvl="0">
      <w:lvlJc w:val="left"/>
      <w:lvlText w:val="%1."/>
      <w:numFmt w:val="decimal"/>
      <w:start w:val="2"/>
    </w:lvl>
  </w:abstractNum>
  <w:abstractNum w:abstractNumId="155">
    <w:nsid w:val="52AC7DFF"/>
    <w:multiLevelType w:val="hybridMultilevel"/>
    <w:lvl w:ilvl="0">
      <w:lvlJc w:val="left"/>
      <w:lvlText w:val="%1."/>
      <w:numFmt w:val="decimal"/>
      <w:start w:val="3"/>
    </w:lvl>
  </w:abstractNum>
  <w:abstractNum w:abstractNumId="156">
    <w:nsid w:val="C4C3AF"/>
    <w:multiLevelType w:val="hybridMultilevel"/>
    <w:lvl w:ilvl="0">
      <w:lvlJc w:val="left"/>
      <w:lvlText w:val="(%1)"/>
      <w:numFmt w:val="decimal"/>
      <w:start w:val="1"/>
    </w:lvl>
  </w:abstractNum>
  <w:abstractNum w:abstractNumId="157">
    <w:nsid w:val="44380727"/>
    <w:multiLevelType w:val="hybridMultilevel"/>
    <w:lvl w:ilvl="0">
      <w:lvlJc w:val="left"/>
      <w:lvlText w:val="%1."/>
      <w:numFmt w:val="decimal"/>
      <w:start w:val="3"/>
    </w:lvl>
  </w:abstractNum>
  <w:abstractNum w:abstractNumId="158">
    <w:nsid w:val="6C053B16"/>
    <w:multiLevelType w:val="hybridMultilevel"/>
    <w:lvl w:ilvl="0">
      <w:lvlJc w:val="left"/>
      <w:lvlText w:val="%1."/>
      <w:numFmt w:val="decimal"/>
      <w:start w:val="4"/>
    </w:lvl>
  </w:abstractNum>
  <w:abstractNum w:abstractNumId="159">
    <w:nsid w:val="4F294393"/>
    <w:multiLevelType w:val="hybridMultilevel"/>
    <w:lvl w:ilvl="0">
      <w:lvlJc w:val="left"/>
      <w:lvlText w:val="(%1)"/>
      <w:numFmt w:val="decimal"/>
      <w:start w:val="1"/>
    </w:lvl>
  </w:abstractNum>
  <w:abstractNum w:abstractNumId="160">
    <w:nsid w:val="5243BFAC"/>
    <w:multiLevelType w:val="hybridMultilevel"/>
    <w:lvl w:ilvl="0">
      <w:lvlJc w:val="left"/>
      <w:lvlText w:val="%1."/>
      <w:numFmt w:val="decimal"/>
      <w:start w:val="6"/>
    </w:lvl>
  </w:abstractNum>
  <w:abstractNum w:abstractNumId="161">
    <w:nsid w:val="425EB207"/>
    <w:multiLevelType w:val="hybridMultilevel"/>
    <w:lvl w:ilvl="0">
      <w:lvlJc w:val="left"/>
      <w:lvlText w:val="%1."/>
      <w:numFmt w:val="decimal"/>
      <w:start w:val="6"/>
    </w:lvl>
    <w:lvl w:ilvl="1">
      <w:lvlJc w:val="left"/>
      <w:lvlText w:val="(%2)"/>
      <w:numFmt w:val="lowerLetter"/>
      <w:start w:val="2"/>
    </w:lvl>
  </w:abstractNum>
  <w:abstractNum w:abstractNumId="162">
    <w:nsid w:val="334A6F1F"/>
    <w:multiLevelType w:val="hybridMultilevel"/>
    <w:lvl w:ilvl="0">
      <w:lvlJc w:val="left"/>
      <w:lvlText w:val="%1."/>
      <w:numFmt w:val="decimal"/>
      <w:start w:val="6"/>
    </w:lvl>
    <w:lvl w:ilvl="1">
      <w:lvlJc w:val="left"/>
      <w:lvlText w:val="(%2)"/>
      <w:numFmt w:val="lowerLetter"/>
      <w:start w:val="2"/>
    </w:lvl>
  </w:abstractNum>
  <w:abstractNum w:abstractNumId="163">
    <w:nsid w:val="2E5B12B8"/>
    <w:multiLevelType w:val="hybridMultilevel"/>
    <w:lvl w:ilvl="0">
      <w:lvlJc w:val="left"/>
      <w:lvlText w:val="%1."/>
      <w:numFmt w:val="decimal"/>
      <w:start w:val="6"/>
    </w:lvl>
    <w:lvl w:ilvl="1">
      <w:lvlJc w:val="left"/>
      <w:lvlText w:val="(%2)"/>
      <w:numFmt w:val="lowerLetter"/>
      <w:start w:val="2"/>
    </w:lvl>
  </w:abstractNum>
  <w:abstractNum w:abstractNumId="164">
    <w:nsid w:val="5C03D76D"/>
    <w:multiLevelType w:val="hybridMultilevel"/>
    <w:lvl w:ilvl="0">
      <w:lvlJc w:val="left"/>
      <w:lvlText w:val="%1."/>
      <w:numFmt w:val="decimal"/>
      <w:start w:val="6"/>
    </w:lvl>
    <w:lvl w:ilvl="1">
      <w:lvlJc w:val="left"/>
      <w:lvlText w:val="(%2)"/>
      <w:numFmt w:val="lowerLetter"/>
      <w:start w:val="2"/>
    </w:lvl>
  </w:abstractNum>
  <w:abstractNum w:abstractNumId="165">
    <w:nsid w:val="66A48D11"/>
    <w:multiLevelType w:val="hybridMultilevel"/>
    <w:lvl w:ilvl="0">
      <w:lvlJc w:val="left"/>
      <w:lvlText w:val="(%1)"/>
      <w:numFmt w:val="decimal"/>
      <w:start w:val="1"/>
    </w:lvl>
  </w:abstractNum>
  <w:abstractNum w:abstractNumId="166">
    <w:nsid w:val="56C28E34"/>
    <w:multiLevelType w:val="hybridMultilevel"/>
    <w:lvl w:ilvl="0">
      <w:lvlJc w:val="left"/>
      <w:lvlText w:val="%1."/>
      <w:numFmt w:val="decimal"/>
      <w:start w:val="7"/>
    </w:lvl>
  </w:abstractNum>
  <w:abstractNum w:abstractNumId="167">
    <w:nsid w:val="13916F2D"/>
    <w:multiLevelType w:val="hybridMultilevel"/>
    <w:lvl w:ilvl="0">
      <w:lvlJc w:val="left"/>
      <w:lvlText w:val="%1"/>
      <w:numFmt w:val="decimal"/>
      <w:start w:val="1"/>
    </w:lvl>
    <w:lvl w:ilvl="1">
      <w:lvlJc w:val="left"/>
      <w:lvlText w:val="(%2)"/>
      <w:numFmt w:val="decimal"/>
      <w:start w:val="2"/>
    </w:lvl>
  </w:abstractNum>
  <w:abstractNum w:abstractNumId="168">
    <w:nsid w:val="435D38D"/>
    <w:multiLevelType w:val="hybridMultilevel"/>
    <w:lvl w:ilvl="0">
      <w:lvlJc w:val="left"/>
      <w:lvlText w:val="%1."/>
      <w:numFmt w:val="decimal"/>
      <w:start w:val="8"/>
    </w:lvl>
    <w:lvl w:ilvl="1">
      <w:lvlJc w:val="left"/>
      <w:lvlText w:val="%2"/>
      <w:numFmt w:val="decimal"/>
      <w:start w:val="1"/>
    </w:lvl>
  </w:abstractNum>
  <w:abstractNum w:abstractNumId="169">
    <w:nsid w:val="822C0EF"/>
    <w:multiLevelType w:val="hybridMultilevel"/>
    <w:lvl w:ilvl="0">
      <w:lvlJc w:val="left"/>
      <w:lvlText w:val="%1."/>
      <w:numFmt w:val="decimal"/>
      <w:start w:val="9"/>
    </w:lvl>
  </w:abstractNum>
  <w:abstractNum w:abstractNumId="170">
    <w:nsid w:val="57C5BB4F"/>
    <w:multiLevelType w:val="hybridMultilevel"/>
    <w:lvl w:ilvl="0">
      <w:lvlJc w:val="left"/>
      <w:lvlText w:val="(%1)"/>
      <w:numFmt w:val="decimal"/>
      <w:start w:val="1"/>
    </w:lvl>
  </w:abstractNum>
  <w:abstractNum w:abstractNumId="171">
    <w:nsid w:val="1803D089"/>
    <w:multiLevelType w:val="hybridMultilevel"/>
    <w:lvl w:ilvl="0">
      <w:lvlJc w:val="left"/>
      <w:lvlText w:val="%1."/>
      <w:numFmt w:val="decimal"/>
      <w:start w:val="9"/>
    </w:lvl>
  </w:abstractNum>
  <w:abstractNum w:abstractNumId="172">
    <w:nsid w:val="4F3A06D4"/>
    <w:multiLevelType w:val="hybridMultilevel"/>
    <w:lvl w:ilvl="0">
      <w:lvlJc w:val="left"/>
      <w:lvlText w:val="%1."/>
      <w:numFmt w:val="decimal"/>
      <w:start w:val="10"/>
    </w:lvl>
  </w:abstractNum>
  <w:abstractNum w:abstractNumId="173">
    <w:nsid w:val="59A377B6"/>
    <w:multiLevelType w:val="hybridMultilevel"/>
    <w:lvl w:ilvl="0">
      <w:lvlJc w:val="left"/>
      <w:lvlText w:val="(%1)"/>
      <w:numFmt w:val="decimal"/>
      <w:start w:val="1"/>
    </w:lvl>
  </w:abstractNum>
  <w:abstractNum w:abstractNumId="174">
    <w:nsid w:val="48AEB063"/>
    <w:multiLevelType w:val="hybridMultilevel"/>
    <w:lvl w:ilvl="0">
      <w:lvlJc w:val="left"/>
      <w:lvlText w:val="%1."/>
      <w:numFmt w:val="decimal"/>
      <w:start w:val="10"/>
    </w:lvl>
  </w:abstractNum>
  <w:abstractNum w:abstractNumId="175">
    <w:nsid w:val="24E135"/>
    <w:multiLevelType w:val="hybridMultilevel"/>
    <w:lvl w:ilvl="0">
      <w:lvlJc w:val="left"/>
      <w:lvlText w:val="%1."/>
      <w:numFmt w:val="decimal"/>
      <w:start w:val="10"/>
    </w:lvl>
  </w:abstractNum>
  <w:abstractNum w:abstractNumId="176">
    <w:nsid w:val="BB13C1"/>
    <w:multiLevelType w:val="hybridMultilevel"/>
    <w:lvl w:ilvl="0">
      <w:lvlJc w:val="left"/>
      <w:lvlText w:val="%1."/>
      <w:numFmt w:val="decimal"/>
      <w:start w:val="10"/>
    </w:lvl>
  </w:abstractNum>
  <w:abstractNum w:abstractNumId="177">
    <w:nsid w:val="271210C7"/>
    <w:multiLevelType w:val="hybridMultilevel"/>
    <w:lvl w:ilvl="0">
      <w:lvlJc w:val="left"/>
      <w:lvlText w:val="%1."/>
      <w:numFmt w:val="decimal"/>
      <w:start w:val="10"/>
    </w:lvl>
  </w:abstractNum>
  <w:abstractNum w:abstractNumId="178">
    <w:nsid w:val="217B22E4"/>
    <w:multiLevelType w:val="hybridMultilevel"/>
    <w:lvl w:ilvl="0">
      <w:lvlJc w:val="left"/>
      <w:lvlText w:val="%1."/>
      <w:numFmt w:val="decimal"/>
      <w:start w:val="10"/>
    </w:lvl>
  </w:abstractNum>
  <w:abstractNum w:abstractNumId="179">
    <w:nsid w:val="53E31A24"/>
    <w:multiLevelType w:val="hybridMultilevel"/>
    <w:lvl w:ilvl="0">
      <w:lvlJc w:val="left"/>
      <w:lvlText w:val="%1."/>
      <w:numFmt w:val="decimal"/>
      <w:start w:val="10"/>
    </w:lvl>
  </w:abstractNum>
  <w:abstractNum w:abstractNumId="180">
    <w:nsid w:val="6DC45E83"/>
    <w:multiLevelType w:val="hybridMultilevel"/>
    <w:lvl w:ilvl="0">
      <w:lvlJc w:val="left"/>
      <w:lvlText w:val="%1."/>
      <w:numFmt w:val="decimal"/>
      <w:start w:val="10"/>
    </w:lvl>
  </w:abstractNum>
  <w:abstractNum w:abstractNumId="181">
    <w:nsid w:val="17304A67"/>
    <w:multiLevelType w:val="hybridMultilevel"/>
    <w:lvl w:ilvl="0">
      <w:lvlJc w:val="left"/>
      <w:lvlText w:val="%1."/>
      <w:numFmt w:val="decimal"/>
      <w:start w:val="10"/>
    </w:lvl>
  </w:abstractNum>
  <w:abstractNum w:abstractNumId="182">
    <w:nsid w:val="2BB180D8"/>
    <w:multiLevelType w:val="hybridMultilevel"/>
    <w:lvl w:ilvl="0">
      <w:lvlJc w:val="left"/>
      <w:lvlText w:val="%1."/>
      <w:numFmt w:val="decimal"/>
      <w:start w:val="10"/>
    </w:lvl>
  </w:abstractNum>
  <w:abstractNum w:abstractNumId="183">
    <w:nsid w:val="556B69ED"/>
    <w:multiLevelType w:val="hybridMultilevel"/>
    <w:lvl w:ilvl="0">
      <w:lvlJc w:val="left"/>
      <w:lvlText w:val="%1."/>
      <w:numFmt w:val="decimal"/>
      <w:start w:val="10"/>
    </w:lvl>
  </w:abstractNum>
  <w:abstractNum w:abstractNumId="184">
    <w:nsid w:val="70836196"/>
    <w:multiLevelType w:val="hybridMultilevel"/>
    <w:lvl w:ilvl="0">
      <w:lvlJc w:val="left"/>
      <w:lvlText w:val="%1."/>
      <w:numFmt w:val="decimal"/>
      <w:start w:val="10"/>
    </w:lvl>
  </w:abstractNum>
  <w:abstractNum w:abstractNumId="185">
    <w:nsid w:val="539F7F12"/>
    <w:multiLevelType w:val="hybridMultilevel"/>
    <w:lvl w:ilvl="0">
      <w:lvlJc w:val="left"/>
      <w:lvlText w:val="%1."/>
      <w:numFmt w:val="decimal"/>
      <w:start w:val="10"/>
    </w:lvl>
  </w:abstractNum>
  <w:abstractNum w:abstractNumId="186">
    <w:nsid w:val="2817E7EC"/>
    <w:multiLevelType w:val="hybridMultilevel"/>
    <w:lvl w:ilvl="0">
      <w:lvlJc w:val="left"/>
      <w:lvlText w:val="%1."/>
      <w:numFmt w:val="decimal"/>
      <w:start w:val="11"/>
    </w:lvl>
  </w:abstractNum>
  <w:abstractNum w:abstractNumId="187">
    <w:nsid w:val="71482545"/>
    <w:multiLevelType w:val="hybridMultilevel"/>
    <w:lvl w:ilvl="0">
      <w:lvlJc w:val="left"/>
      <w:lvlText w:val="%1."/>
      <w:numFmt w:val="decimal"/>
      <w:start w:val="11"/>
    </w:lvl>
  </w:abstractNum>
  <w:abstractNum w:abstractNumId="188">
    <w:nsid w:val="17D78639"/>
    <w:multiLevelType w:val="hybridMultilevel"/>
    <w:lvl w:ilvl="0">
      <w:lvlJc w:val="left"/>
      <w:lvlText w:val="%1."/>
      <w:numFmt w:val="decimal"/>
      <w:start w:val="11"/>
    </w:lvl>
  </w:abstractNum>
  <w:abstractNum w:abstractNumId="189">
    <w:nsid w:val="141D2302"/>
    <w:multiLevelType w:val="hybridMultilevel"/>
    <w:lvl w:ilvl="0">
      <w:lvlJc w:val="left"/>
      <w:lvlText w:val="%1."/>
      <w:numFmt w:val="decimal"/>
      <w:start w:val="12"/>
    </w:lvl>
    <w:lvl w:ilvl="1">
      <w:lvlJc w:val="left"/>
      <w:lvlText w:val="•"/>
      <w:numFmt w:val="bullet"/>
      <w:start w:val="1"/>
    </w:lvl>
  </w:abstractNum>
  <w:abstractNum w:abstractNumId="190">
    <w:nsid w:val="407168D8"/>
    <w:multiLevelType w:val="hybridMultilevel"/>
    <w:lvl w:ilvl="0">
      <w:lvlJc w:val="left"/>
      <w:lvlText w:val="%1."/>
      <w:numFmt w:val="decimal"/>
      <w:start w:val="12"/>
    </w:lvl>
  </w:abstractNum>
  <w:abstractNum w:abstractNumId="191">
    <w:nsid w:val="6A1B45E5"/>
    <w:multiLevelType w:val="hybridMultilevel"/>
    <w:lvl w:ilvl="0">
      <w:lvlJc w:val="left"/>
      <w:lvlText w:val="•"/>
      <w:numFmt w:val="bullet"/>
      <w:start w:val="1"/>
    </w:lvl>
  </w:abstractNum>
  <w:abstractNum w:abstractNumId="192">
    <w:nsid w:val="567BD50A"/>
    <w:multiLevelType w:val="hybridMultilevel"/>
    <w:lvl w:ilvl="0">
      <w:lvlJc w:val="left"/>
      <w:lvlText w:val="%1."/>
      <w:numFmt w:val="decimal"/>
      <w:start w:val="13"/>
    </w:lvl>
  </w:abstractNum>
  <w:abstractNum w:abstractNumId="193">
    <w:nsid w:val="73BBD7F8"/>
    <w:multiLevelType w:val="hybridMultilevel"/>
    <w:lvl w:ilvl="0">
      <w:lvlJc w:val="left"/>
      <w:lvlText w:val="%1."/>
      <w:numFmt w:val="decimal"/>
      <w:start w:val="13"/>
    </w:lvl>
  </w:abstractNum>
  <w:abstractNum w:abstractNumId="194">
    <w:nsid w:val="1876589D"/>
    <w:multiLevelType w:val="hybridMultilevel"/>
    <w:lvl w:ilvl="0">
      <w:lvlJc w:val="left"/>
      <w:lvlText w:val="%1."/>
      <w:numFmt w:val="decimal"/>
      <w:start w:val="14"/>
    </w:lvl>
  </w:abstractNum>
  <w:abstractNum w:abstractNumId="195">
    <w:nsid w:val="327FAC77"/>
    <w:multiLevelType w:val="hybridMultilevel"/>
    <w:lvl w:ilvl="0">
      <w:lvlJc w:val="left"/>
      <w:lvlText w:val="%1."/>
      <w:numFmt w:val="decimal"/>
      <w:start w:val="14"/>
    </w:lvl>
  </w:abstractNum>
  <w:abstractNum w:abstractNumId="196">
    <w:nsid w:val="5A606509"/>
    <w:multiLevelType w:val="hybridMultilevel"/>
    <w:lvl w:ilvl="0">
      <w:lvlJc w:val="left"/>
      <w:lvlText w:val="%1."/>
      <w:numFmt w:val="decimal"/>
      <w:start w:val="14"/>
    </w:lvl>
  </w:abstractNum>
  <w:abstractNum w:abstractNumId="197">
    <w:nsid w:val="6F38E6D1"/>
    <w:multiLevelType w:val="hybridMultilevel"/>
    <w:lvl w:ilvl="0">
      <w:lvlJc w:val="left"/>
      <w:lvlText w:val="%1."/>
      <w:numFmt w:val="decimal"/>
      <w:start w:val="14"/>
    </w:lvl>
  </w:abstractNum>
  <w:abstractNum w:abstractNumId="198">
    <w:nsid w:val="46111BA5"/>
    <w:multiLevelType w:val="hybridMultilevel"/>
    <w:lvl w:ilvl="0">
      <w:lvlJc w:val="left"/>
      <w:lvlText w:val="%1."/>
      <w:numFmt w:val="decimal"/>
      <w:start w:val="14"/>
    </w:lvl>
  </w:abstractNum>
  <w:abstractNum w:abstractNumId="199">
    <w:nsid w:val="5E963896"/>
    <w:multiLevelType w:val="hybridMultilevel"/>
    <w:lvl w:ilvl="0">
      <w:lvlJc w:val="left"/>
      <w:lvlText w:val="%1."/>
      <w:numFmt w:val="decimal"/>
      <w:start w:val="15"/>
    </w:lvl>
  </w:abstractNum>
  <w:abstractNum w:abstractNumId="200">
    <w:nsid w:val="775BA7C1"/>
    <w:multiLevelType w:val="hybridMultilevel"/>
    <w:lvl w:ilvl="0">
      <w:lvlJc w:val="left"/>
      <w:lvlText w:val="%1."/>
      <w:numFmt w:val="decimal"/>
      <w:start w:val="15"/>
    </w:lvl>
  </w:abstractNum>
  <w:abstractNum w:abstractNumId="201">
    <w:nsid w:val="1DD6D6F4"/>
    <w:multiLevelType w:val="hybridMultilevel"/>
    <w:lvl w:ilvl="0">
      <w:lvlJc w:val="left"/>
      <w:lvlText w:val="%1."/>
      <w:numFmt w:val="decimal"/>
      <w:start w:val="15"/>
    </w:lvl>
  </w:abstractNum>
  <w:abstractNum w:abstractNumId="202">
    <w:nsid w:val="769A091F"/>
    <w:multiLevelType w:val="hybridMultilevel"/>
    <w:lvl w:ilvl="0">
      <w:lvlJc w:val="left"/>
      <w:lvlText w:val="%1."/>
      <w:numFmt w:val="decimal"/>
      <w:start w:val="15"/>
    </w:lvl>
  </w:abstractNum>
  <w:abstractNum w:abstractNumId="203">
    <w:nsid w:val="4695AE95"/>
    <w:multiLevelType w:val="hybridMultilevel"/>
    <w:lvl w:ilvl="0">
      <w:lvlJc w:val="left"/>
      <w:lvlText w:val="%1."/>
      <w:numFmt w:val="decimal"/>
      <w:start w:val="15"/>
    </w:lvl>
  </w:abstractNum>
  <w:abstractNum w:abstractNumId="204">
    <w:nsid w:val="777A4EAA"/>
    <w:multiLevelType w:val="hybridMultilevel"/>
    <w:lvl w:ilvl="0">
      <w:lvlJc w:val="left"/>
      <w:lvlText w:val="%1."/>
      <w:numFmt w:val="decimal"/>
      <w:start w:val="16"/>
    </w:lvl>
  </w:abstractNum>
  <w:abstractNum w:abstractNumId="205">
    <w:nsid w:val="3F48B982"/>
    <w:multiLevelType w:val="hybridMultilevel"/>
    <w:lvl w:ilvl="0">
      <w:lvlJc w:val="left"/>
      <w:lvlText w:val="%1."/>
      <w:numFmt w:val="decimal"/>
      <w:start w:val="19"/>
    </w:lvl>
    <w:lvl w:ilvl="1">
      <w:lvlJc w:val="left"/>
      <w:lvlText w:val="(%2)"/>
      <w:numFmt w:val="lowerLetter"/>
      <w:start w:val="1"/>
    </w:lvl>
  </w:abstractNum>
  <w:abstractNum w:abstractNumId="206">
    <w:nsid w:val="46BA8FCA"/>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207">
    <w:nsid w:val="7835626C"/>
    <w:multiLevelType w:val="hybridMultilevel"/>
    <w:lvl w:ilvl="0">
      <w:lvlJc w:val="left"/>
      <w:lvlText w:val="%1."/>
      <w:numFmt w:val="decimal"/>
      <w:start w:val="20"/>
    </w:lvl>
    <w:lvl w:ilvl="1">
      <w:lvlJc w:val="left"/>
      <w:lvlText w:val="(%2)"/>
      <w:numFmt w:val="lowerLetter"/>
      <w:start w:val="2"/>
    </w:lvl>
    <w:lvl w:ilvl="2">
      <w:lvlJc w:val="left"/>
      <w:lvlText w:val="•"/>
      <w:numFmt w:val="bullet"/>
      <w:start w:val="1"/>
    </w:lvl>
  </w:abstractNum>
  <w:abstractNum w:abstractNumId="208">
    <w:nsid w:val="665ACA49"/>
    <w:multiLevelType w:val="hybridMultilevel"/>
    <w:lvl w:ilvl="0">
      <w:lvlJc w:val="left"/>
      <w:lvlText w:val="%1."/>
      <w:numFmt w:val="decimal"/>
      <w:start w:val="20"/>
    </w:lvl>
    <w:lvl w:ilvl="1">
      <w:lvlJc w:val="left"/>
      <w:lvlText w:val="(%2)"/>
      <w:numFmt w:val="lowerLetter"/>
      <w:start w:val="2"/>
    </w:lvl>
    <w:lvl w:ilvl="2">
      <w:lvlJc w:val="left"/>
      <w:lvlText w:val="•"/>
      <w:numFmt w:val="bullet"/>
      <w:start w:val="1"/>
    </w:lvl>
  </w:abstractNum>
  <w:abstractNum w:abstractNumId="209">
    <w:nsid w:val="6835B2AE"/>
    <w:multiLevelType w:val="hybridMultilevel"/>
    <w:lvl w:ilvl="0">
      <w:lvlJc w:val="left"/>
      <w:lvlText w:val="%1."/>
      <w:numFmt w:val="decimal"/>
      <w:start w:val="20"/>
    </w:lvl>
  </w:abstractNum>
  <w:abstractNum w:abstractNumId="210">
    <w:nsid w:val="4C187C90"/>
    <w:multiLevelType w:val="hybridMultilevel"/>
    <w:lvl w:ilvl="0">
      <w:lvlJc w:val="left"/>
      <w:lvlText w:val="(%1)"/>
      <w:numFmt w:val="lowerLetter"/>
      <w:start w:val="3"/>
    </w:lvl>
  </w:abstractNum>
  <w:abstractNum w:abstractNumId="211">
    <w:nsid w:val="541F28C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12">
    <w:nsid w:val="7F65FD16"/>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213">
    <w:nsid w:val="77C9FD68"/>
    <w:multiLevelType w:val="hybridMultilevel"/>
    <w:lvl w:ilvl="0">
      <w:lvlJc w:val="left"/>
      <w:lvlText w:val="%1."/>
      <w:numFmt w:val="decimal"/>
      <w:start w:val="21"/>
    </w:lvl>
    <w:lvl w:ilvl="1">
      <w:lvlJc w:val="left"/>
      <w:lvlText w:val="(%2)"/>
      <w:numFmt w:val="decimal"/>
      <w:start w:val="1"/>
    </w:lvl>
  </w:abstractNum>
  <w:abstractNum w:abstractNumId="214">
    <w:nsid w:val="298A92BA"/>
    <w:multiLevelType w:val="hybridMultilevel"/>
    <w:lvl w:ilvl="0">
      <w:lvlJc w:val="left"/>
      <w:lvlText w:val="%1."/>
      <w:numFmt w:val="decimal"/>
      <w:start w:val="21"/>
    </w:lvl>
    <w:lvl w:ilvl="1">
      <w:lvlJc w:val="left"/>
      <w:lvlText w:val="(%2)"/>
      <w:numFmt w:val="lowerLetter"/>
      <w:start w:val="1"/>
    </w:lvl>
  </w:abstractNum>
  <w:abstractNum w:abstractNumId="215">
    <w:nsid w:val="6FE95EAC"/>
    <w:multiLevelType w:val="hybridMultilevel"/>
    <w:lvl w:ilvl="0">
      <w:lvlJc w:val="left"/>
      <w:lvlText w:val="(%1)"/>
      <w:numFmt w:val="lowerLetter"/>
      <w:start w:val="2"/>
    </w:lvl>
  </w:abstractNum>
  <w:abstractNum w:abstractNumId="216">
    <w:nsid w:val="4B697C7A"/>
    <w:multiLevelType w:val="hybridMultilevel"/>
    <w:lvl w:ilvl="0">
      <w:lvlJc w:val="left"/>
      <w:lvlText w:val="%1"/>
      <w:numFmt w:val="decimal"/>
      <w:start w:val="1"/>
    </w:lvl>
    <w:lvl w:ilvl="1">
      <w:lvlJc w:val="left"/>
      <w:lvlText w:val="(%2)"/>
      <w:numFmt w:val="lowerLetter"/>
      <w:start w:val="3"/>
    </w:lvl>
  </w:abstractNum>
  <w:abstractNum w:abstractNumId="217">
    <w:nsid w:val="51A27AA6"/>
    <w:multiLevelType w:val="hybridMultilevel"/>
    <w:lvl w:ilvl="0">
      <w:lvlJc w:val="left"/>
      <w:lvlText w:val="%1."/>
      <w:numFmt w:val="decimal"/>
      <w:start w:val="22"/>
    </w:lvl>
    <w:lvl w:ilvl="1">
      <w:lvlJc w:val="left"/>
      <w:lvlText w:val="%2"/>
      <w:numFmt w:val="lowerLetter"/>
      <w:start w:val="1"/>
    </w:lvl>
  </w:abstractNum>
  <w:abstractNum w:abstractNumId="218">
    <w:nsid w:val="613183F2"/>
    <w:multiLevelType w:val="hybridMultilevel"/>
    <w:lvl w:ilvl="0">
      <w:lvlJc w:val="left"/>
      <w:lvlText w:val="%1."/>
      <w:numFmt w:val="decimal"/>
      <w:start w:val="22"/>
    </w:lvl>
  </w:abstractNum>
  <w:abstractNum w:abstractNumId="219">
    <w:nsid w:val="634102B4"/>
    <w:multiLevelType w:val="hybridMultilevel"/>
    <w:lvl w:ilvl="0">
      <w:lvlJc w:val="left"/>
      <w:lvlText w:val="%1."/>
      <w:numFmt w:val="decimal"/>
      <w:start w:val="22"/>
    </w:lvl>
  </w:abstractNum>
  <w:abstractNum w:abstractNumId="220">
    <w:nsid w:val="65BF9DA8"/>
    <w:multiLevelType w:val="hybridMultilevel"/>
    <w:lvl w:ilvl="0">
      <w:lvlJc w:val="left"/>
      <w:lvlText w:val="%1."/>
      <w:numFmt w:val="decimal"/>
      <w:start w:val="22"/>
    </w:lvl>
    <w:lvl w:ilvl="1">
      <w:lvlJc w:val="left"/>
      <w:lvlText w:val="(%2)"/>
      <w:numFmt w:val="decimal"/>
      <w:start w:val="1"/>
    </w:lvl>
  </w:abstractNum>
  <w:abstractNum w:abstractNumId="221">
    <w:nsid w:val="21A2ECCA"/>
    <w:multiLevelType w:val="hybridMultilevel"/>
    <w:lvl w:ilvl="0">
      <w:lvlJc w:val="left"/>
      <w:lvlText w:val="(%1)"/>
      <w:numFmt w:val="decimal"/>
      <w:start w:val="2"/>
    </w:lvl>
  </w:abstractNum>
  <w:abstractNum w:abstractNumId="222">
    <w:nsid w:val="4D5C4899"/>
    <w:multiLevelType w:val="hybridMultilevel"/>
    <w:lvl w:ilvl="0">
      <w:lvlJc w:val="left"/>
      <w:lvlText w:val="%1."/>
      <w:numFmt w:val="decimal"/>
      <w:start w:val="22"/>
    </w:lvl>
  </w:abstractNum>
  <w:abstractNum w:abstractNumId="223">
    <w:nsid w:val="3C3B72B2"/>
    <w:multiLevelType w:val="hybridMultilevel"/>
    <w:lvl w:ilvl="0">
      <w:lvlJc w:val="left"/>
      <w:lvlText w:val="%1."/>
      <w:numFmt w:val="decimal"/>
      <w:start w:val="23"/>
    </w:lvl>
  </w:abstractNum>
  <w:abstractNum w:abstractNumId="224">
    <w:nsid w:val="155EC4C2"/>
    <w:multiLevelType w:val="hybridMultilevel"/>
    <w:lvl w:ilvl="0">
      <w:lvlJc w:val="left"/>
      <w:lvlText w:val="%1."/>
      <w:numFmt w:val="decimal"/>
      <w:start w:val="24"/>
    </w:lvl>
    <w:lvl w:ilvl="1">
      <w:lvlJc w:val="left"/>
      <w:lvlText w:val="(%2)"/>
      <w:numFmt w:val="lowerLetter"/>
      <w:start w:val="1"/>
    </w:lvl>
  </w:abstractNum>
  <w:abstractNum w:abstractNumId="225">
    <w:nsid w:val="65D2A137"/>
    <w:multiLevelType w:val="hybridMultilevel"/>
    <w:lvl w:ilvl="0">
      <w:lvlJc w:val="left"/>
      <w:lvlText w:val="%1."/>
      <w:numFmt w:val="decimal"/>
      <w:start w:val="24"/>
    </w:lvl>
    <w:lvl w:ilvl="1">
      <w:lvlJc w:val="left"/>
      <w:lvlText w:val="(%2)"/>
      <w:numFmt w:val="lowerLetter"/>
      <w:start w:val="2"/>
    </w:lvl>
  </w:abstractNum>
  <w:abstractNum w:abstractNumId="226">
    <w:nsid w:val="6EBB1F2A"/>
    <w:multiLevelType w:val="hybridMultilevel"/>
    <w:lvl w:ilvl="0">
      <w:lvlJc w:val="left"/>
      <w:lvlText w:val="%1."/>
      <w:numFmt w:val="decimal"/>
      <w:start w:val="1"/>
    </w:lvl>
  </w:abstractNum>
  <w:abstractNum w:abstractNumId="227">
    <w:nsid w:val="6FBF29CB"/>
    <w:multiLevelType w:val="hybridMultilevel"/>
    <w:lvl w:ilvl="0">
      <w:lvlJc w:val="left"/>
      <w:lvlText w:val="(%1)"/>
      <w:numFmt w:val="lowerLetter"/>
      <w:start w:val="3"/>
    </w:lvl>
  </w:abstractNum>
  <w:abstractNum w:abstractNumId="228">
    <w:nsid w:val="550B8808"/>
    <w:multiLevelType w:val="hybridMultilevel"/>
    <w:lvl w:ilvl="0">
      <w:lvlJc w:val="left"/>
      <w:lvlText w:val="(%1)"/>
      <w:numFmt w:val="lowerLetter"/>
      <w:start w:val="4"/>
    </w:lvl>
  </w:abstractNum>
  <w:abstractNum w:abstractNumId="229">
    <w:nsid w:val="34CC3ACF"/>
    <w:multiLevelType w:val="hybridMultilevel"/>
    <w:lvl w:ilvl="0">
      <w:lvlJc w:val="left"/>
      <w:lvlText w:val="(%1)"/>
      <w:numFmt w:val="decimal"/>
      <w:start w:val="3"/>
    </w:lvl>
  </w:abstractNum>
  <w:abstractNum w:abstractNumId="230">
    <w:nsid w:val="4E556261"/>
    <w:multiLevelType w:val="hybridMultilevel"/>
    <w:lvl w:ilvl="0">
      <w:lvlJc w:val="left"/>
      <w:lvlText w:val="(%1)"/>
      <w:numFmt w:val="lowerLetter"/>
      <w:start w:val="1"/>
    </w:lvl>
  </w:abstractNum>
  <w:abstractNum w:abstractNumId="231">
    <w:nsid w:val="4C672FC9"/>
    <w:multiLevelType w:val="hybridMultilevel"/>
    <w:lvl w:ilvl="0">
      <w:lvlJc w:val="left"/>
      <w:lvlText w:val="(%1)"/>
      <w:numFmt w:val="lowerLetter"/>
      <w:start w:val="7"/>
    </w:lvl>
  </w:abstractNum>
  <w:abstractNum w:abstractNumId="232">
    <w:nsid w:val="52A311C3"/>
    <w:multiLevelType w:val="hybridMultilevel"/>
    <w:lvl w:ilvl="0">
      <w:lvlJc w:val="left"/>
      <w:lvlText w:val="(%1)"/>
      <w:numFmt w:val="decimal"/>
      <w:start w:val="1"/>
    </w:lvl>
  </w:abstractNum>
  <w:abstractNum w:abstractNumId="233">
    <w:nsid w:val="44EF6B80"/>
    <w:multiLevelType w:val="hybridMultilevel"/>
    <w:lvl w:ilvl="0">
      <w:lvlJc w:val="left"/>
      <w:lvlText w:val="(%1)"/>
      <w:numFmt w:val="upperLetter"/>
      <w:start w:val="1"/>
    </w:lvl>
    <w:lvl w:ilvl="1">
      <w:lvlJc w:val="left"/>
      <w:lvlText w:val="(%2)"/>
      <w:numFmt w:val="decimal"/>
      <w:start w:val="1"/>
    </w:lvl>
  </w:abstractNum>
  <w:abstractNum w:abstractNumId="234">
    <w:nsid w:val="12FCDE5E"/>
    <w:multiLevelType w:val="hybridMultilevel"/>
    <w:lvl w:ilvl="0">
      <w:lvlJc w:val="left"/>
      <w:lvlText w:val="(%1)"/>
      <w:numFmt w:val="lowerRoman"/>
      <w:start w:val="2"/>
    </w:lvl>
  </w:abstractNum>
  <w:abstractNum w:abstractNumId="235">
    <w:nsid w:val="4A1D606E"/>
    <w:multiLevelType w:val="hybridMultilevel"/>
    <w:lvl w:ilvl="0">
      <w:lvlJc w:val="left"/>
      <w:lvlText w:val="(%1)"/>
      <w:numFmt w:val="lowerLetter"/>
      <w:start w:val="1"/>
    </w:lvl>
  </w:abstractNum>
  <w:abstractNum w:abstractNumId="236">
    <w:nsid w:val="4382503"/>
    <w:multiLevelType w:val="hybridMultilevel"/>
    <w:lvl w:ilvl="0">
      <w:lvlJc w:val="left"/>
      <w:lvlText w:val="(%1)"/>
      <w:numFmt w:val="lowerLetter"/>
      <w:start w:val="3"/>
    </w:lvl>
  </w:abstractNum>
  <w:abstractNum w:abstractNumId="237">
    <w:nsid w:val="59B76E28"/>
    <w:multiLevelType w:val="hybridMultilevel"/>
    <w:lvl w:ilvl="0">
      <w:lvlJc w:val="left"/>
      <w:lvlText w:val="(%1)"/>
      <w:numFmt w:val="decimal"/>
      <w:start w:val="5"/>
    </w:lvl>
  </w:abstractNum>
  <w:abstractNum w:abstractNumId="238">
    <w:nsid w:val="4252C2DA"/>
    <w:multiLevelType w:val="hybridMultilevel"/>
    <w:lvl w:ilvl="0">
      <w:lvlJc w:val="left"/>
      <w:lvlText w:val="(%1)"/>
      <w:numFmt w:val="decimal"/>
      <w:start w:val="2"/>
    </w:lvl>
  </w:abstractNum>
  <w:abstractNum w:abstractNumId="239">
    <w:nsid w:val="6A92EF4C"/>
    <w:multiLevelType w:val="hybridMultilevel"/>
    <w:lvl w:ilvl="0">
      <w:lvlJc w:val="left"/>
      <w:lvlText w:val="(%1)"/>
      <w:numFmt w:val="decimal"/>
      <w:start w:val="1"/>
    </w:lvl>
  </w:abstractNum>
  <w:abstractNum w:abstractNumId="240">
    <w:nsid w:val="41ED20D7"/>
    <w:multiLevelType w:val="hybridMultilevel"/>
    <w:lvl w:ilvl="0">
      <w:lvlJc w:val="left"/>
      <w:lvlText w:val="(%1)"/>
      <w:numFmt w:val="decimal"/>
      <w:start w:val="1"/>
    </w:lvl>
  </w:abstractNum>
  <w:abstractNum w:abstractNumId="241">
    <w:nsid w:val="E6B3F6A"/>
    <w:multiLevelType w:val="hybridMultilevel"/>
    <w:lvl w:ilvl="0">
      <w:lvlJc w:val="left"/>
      <w:lvlText w:val="(%1)"/>
      <w:numFmt w:val="decimal"/>
      <w:start w:val="2"/>
    </w:lvl>
  </w:abstractNum>
  <w:abstractNum w:abstractNumId="242">
    <w:nsid w:val="3EB21819"/>
    <w:multiLevelType w:val="hybridMultilevel"/>
    <w:lvl w:ilvl="0">
      <w:lvlJc w:val="left"/>
      <w:lvlText w:val="(%1)"/>
      <w:numFmt w:val="upperLetter"/>
      <w:start w:val="1"/>
    </w:lvl>
  </w:abstractNum>
  <w:abstractNum w:abstractNumId="243">
    <w:nsid w:val="41531DED"/>
    <w:multiLevelType w:val="hybridMultilevel"/>
    <w:lvl w:ilvl="0">
      <w:lvlJc w:val="left"/>
      <w:lvlText w:val="(%1)"/>
      <w:numFmt w:val="upperLetter"/>
      <w:start w:val="4"/>
    </w:lvl>
  </w:abstractNum>
  <w:abstractNum w:abstractNumId="244">
    <w:nsid w:val="6353CD2"/>
    <w:multiLevelType w:val="hybridMultilevel"/>
    <w:lvl w:ilvl="0">
      <w:lvlJc w:val="left"/>
      <w:lvlText w:val="(%1)"/>
      <w:numFmt w:val="decimal"/>
      <w:start w:val="1"/>
    </w:lvl>
  </w:abstractNum>
  <w:abstractNum w:abstractNumId="245">
    <w:nsid w:val="683CAAD3"/>
    <w:multiLevelType w:val="hybridMultilevel"/>
    <w:lvl w:ilvl="0">
      <w:lvlJc w:val="left"/>
      <w:lvlText w:val="*"/>
      <w:numFmt w:val="bullet"/>
      <w:start w:val="1"/>
    </w:lvl>
  </w:abstractNum>
  <w:abstractNum w:abstractNumId="246">
    <w:nsid w:val="313C7C99"/>
    <w:multiLevelType w:val="hybridMultilevel"/>
    <w:lvl w:ilvl="0">
      <w:lvlJc w:val="left"/>
      <w:lvlText w:val="*"/>
      <w:numFmt w:val="bullet"/>
      <w:start w:val="1"/>
    </w:lvl>
  </w:abstractNum>
  <w:abstractNum w:abstractNumId="247">
    <w:nsid w:val="519EB94C"/>
    <w:multiLevelType w:val="hybridMultilevel"/>
    <w:lvl w:ilvl="0">
      <w:lvlJc w:val="left"/>
      <w:lvlText w:val="(%1)"/>
      <w:numFmt w:val="lowerLetter"/>
      <w:start w:val="1"/>
    </w:lvl>
  </w:abstractNum>
  <w:abstractNum w:abstractNumId="248">
    <w:nsid w:val="39DF2579"/>
    <w:multiLevelType w:val="hybridMultilevel"/>
    <w:lvl w:ilvl="0">
      <w:lvlJc w:val="left"/>
      <w:lvlText w:val="%1."/>
      <w:numFmt w:val="decimal"/>
      <w:start w:val="1"/>
    </w:lvl>
  </w:abstractNum>
  <w:abstractNum w:abstractNumId="249">
    <w:nsid w:val="126E008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0">
    <w:nsid w:val="34DFBC00"/>
    <w:multiLevelType w:val="hybridMultilevel"/>
    <w:lvl w:ilvl="0">
      <w:lvlJc w:val="left"/>
      <w:lvlText w:val="%1."/>
      <w:numFmt w:val="decimal"/>
      <w:start w:val="2"/>
    </w:lvl>
  </w:abstractNum>
  <w:abstractNum w:abstractNumId="251">
    <w:nsid w:val="1F9EC322"/>
    <w:multiLevelType w:val="hybridMultilevel"/>
    <w:lvl w:ilvl="0">
      <w:lvlJc w:val="left"/>
      <w:lvlText w:val=" "/>
      <w:numFmt w:val="bullet"/>
      <w:start w:val="1"/>
    </w:lvl>
    <w:lvl w:ilvl="1">
      <w:lvlJc w:val="left"/>
      <w:lvlText w:val="(%2)"/>
      <w:numFmt w:val="lowerLetter"/>
      <w:start w:val="1"/>
    </w:lvl>
    <w:lvl w:ilvl="2">
      <w:lvlJc w:val="left"/>
      <w:lvlText w:val="(%3)"/>
      <w:numFmt w:val="lowerRoman"/>
      <w:start w:val="1"/>
    </w:lvl>
  </w:abstractNum>
  <w:abstractNum w:abstractNumId="252">
    <w:nsid w:val="3410ED56"/>
    <w:multiLevelType w:val="hybridMultilevel"/>
    <w:lvl w:ilvl="0">
      <w:lvlJc w:val="left"/>
      <w:lvlText w:val="(%1)"/>
      <w:numFmt w:val="lowerRoman"/>
      <w:start w:val="2"/>
    </w:lvl>
  </w:abstractNum>
  <w:abstractNum w:abstractNumId="253">
    <w:nsid w:val="23C049A"/>
    <w:multiLevelType w:val="hybridMultilevel"/>
    <w:lvl w:ilvl="0">
      <w:lvlJc w:val="left"/>
      <w:lvlText w:val="%1."/>
      <w:numFmt w:val="decimal"/>
      <w:start w:val="1"/>
    </w:lvl>
  </w:abstractNum>
  <w:abstractNum w:abstractNumId="254">
    <w:nsid w:val="5BDA35D4"/>
    <w:multiLevelType w:val="hybridMultilevel"/>
    <w:lvl w:ilvl="0">
      <w:lvlJc w:val="left"/>
      <w:lvlText w:val="%1."/>
      <w:numFmt w:val="upperLetter"/>
      <w:start w:val="9"/>
    </w:lvl>
  </w:abstractNum>
  <w:abstractNum w:abstractNumId="255">
    <w:nsid w:val="496FB218"/>
    <w:multiLevelType w:val="hybridMultilevel"/>
    <w:lvl w:ilvl="0">
      <w:lvlJc w:val="left"/>
      <w:lvlText w:val="%1."/>
      <w:numFmt w:val="upperLetter"/>
      <w:start w:val="35"/>
    </w:lvl>
  </w:abstractNum>
  <w:abstractNum w:abstractNumId="256">
    <w:nsid w:val="680EA5D1"/>
    <w:multiLevelType w:val="hybridMultilevel"/>
    <w:lvl w:ilvl="0">
      <w:lvlJc w:val="left"/>
      <w:lvlText w:val="1"/>
      <w:numFmt w:val="bullet"/>
      <w:start w:val="1"/>
    </w:lvl>
  </w:abstractNum>
  <w:abstractNum w:abstractNumId="257">
    <w:nsid w:val="4A9554FE"/>
    <w:multiLevelType w:val="hybridMultilevel"/>
    <w:lvl w:ilvl="0">
      <w:lvlJc w:val="left"/>
      <w:lvlText w:val="%1."/>
      <w:numFmt w:val="upperLetter"/>
      <w:start w:val="61"/>
    </w:lvl>
    <w:lvl w:ilvl="1">
      <w:lvlJc w:val="left"/>
      <w:lvlText w:val="%2"/>
      <w:numFmt w:val="upperLetter"/>
      <w:start w:val="1"/>
    </w:lvl>
    <w:lvl w:ilvl="2">
      <w:lvlJc w:val="left"/>
      <w:lvlText w:val="(%3)"/>
      <w:numFmt w:val="lowerLetter"/>
      <w:start w:val="1"/>
    </w:lvl>
  </w:abstractNum>
  <w:abstractNum w:abstractNumId="258">
    <w:nsid w:val="392EDBE4"/>
    <w:multiLevelType w:val="hybridMultilevel"/>
    <w:lvl w:ilvl="0">
      <w:lvlJc w:val="left"/>
      <w:lvlText w:val="2"/>
      <w:numFmt w:val="bullet"/>
      <w:start w:val="1"/>
    </w:lvl>
  </w:abstractNum>
  <w:abstractNum w:abstractNumId="259">
    <w:nsid w:val="3D1A2DD9"/>
    <w:multiLevelType w:val="hybridMultilevel"/>
    <w:lvl w:ilvl="0">
      <w:lvlJc w:val="left"/>
      <w:lvlText w:val="(%1)"/>
      <w:numFmt w:val="lowerLetter"/>
      <w:start w:val="2"/>
    </w:lvl>
  </w:abstractNum>
  <w:abstractNum w:abstractNumId="260">
    <w:nsid w:val="7F618FC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7"/>
    </w:lvl>
  </w:abstractNum>
  <w:abstractNum w:abstractNumId="261">
    <w:nsid w:val="7843E45"/>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abstractNum>
  <w:abstractNum w:abstractNumId="262">
    <w:nsid w:val="9815DA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63">
    <w:nsid w:val="5204A19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64">
    <w:nsid w:val="4C73A9C6"/>
    <w:multiLevelType w:val="hybridMultilevel"/>
    <w:lvl w:ilvl="0">
      <w:lvlJc w:val="left"/>
      <w:lvlText w:val="(%1)"/>
      <w:numFmt w:val="lowerLetter"/>
      <w:start w:val="3"/>
    </w:lvl>
  </w:abstractNum>
  <w:abstractNum w:abstractNumId="265">
    <w:nsid w:val="1C7E3C01"/>
    <w:multiLevelType w:val="hybridMultilevel"/>
    <w:lvl w:ilvl="0">
      <w:lvlJc w:val="left"/>
      <w:lvlText w:val="%1."/>
      <w:numFmt w:val="upperLetter"/>
      <w:start w:val="4"/>
    </w:lvl>
    <w:lvl w:ilvl="1">
      <w:lvlJc w:val="left"/>
      <w:lvlText w:val="(%2)"/>
      <w:numFmt w:val="lowerLetter"/>
      <w:start w:val="1"/>
    </w:lvl>
  </w:abstractNum>
  <w:abstractNum w:abstractNumId="266">
    <w:nsid w:val="1C2201FF"/>
    <w:multiLevelType w:val="hybridMultilevel"/>
    <w:lvl w:ilvl="0">
      <w:lvlJc w:val="left"/>
      <w:lvlText w:val="(%1)"/>
      <w:numFmt w:val="lowerLetter"/>
      <w:start w:val="2"/>
    </w:lvl>
  </w:abstractNum>
  <w:abstractNum w:abstractNumId="267">
    <w:nsid w:val="50ABCEC9"/>
    <w:multiLevelType w:val="hybridMultilevel"/>
    <w:lvl w:ilvl="0">
      <w:lvlJc w:val="left"/>
      <w:lvlText w:val="(%1)"/>
      <w:numFmt w:val="lowerLetter"/>
      <w:start w:val="6"/>
    </w:lvl>
  </w:abstractNum>
  <w:abstractNum w:abstractNumId="268">
    <w:nsid w:val="7635AA2A"/>
    <w:multiLevelType w:val="hybridMultilevel"/>
    <w:lvl w:ilvl="0">
      <w:lvlJc w:val="left"/>
      <w:lvlText w:val="%1."/>
      <w:numFmt w:val="upperLetter"/>
      <w:start w:val="22"/>
    </w:lvl>
  </w:abstractNum>
  <w:abstractNum w:abstractNumId="269">
    <w:nsid w:val="5E74C4D9"/>
    <w:multiLevelType w:val="hybridMultilevel"/>
    <w:lvl w:ilvl="0">
      <w:lvlJc w:val="left"/>
      <w:lvlText w:val="%1."/>
      <w:numFmt w:val="upperLetter"/>
      <w:start w:val="1"/>
    </w:lvl>
  </w:abstractNum>
  <w:abstractNum w:abstractNumId="270">
    <w:nsid w:val="3B3EBE15"/>
    <w:multiLevelType w:val="hybridMultilevel"/>
    <w:lvl w:ilvl="0">
      <w:lvlJc w:val="left"/>
      <w:lvlText w:val="•"/>
      <w:numFmt w:val="bullet"/>
      <w:start w:val="1"/>
    </w:lvl>
  </w:abstractNum>
  <w:abstractNum w:abstractNumId="271">
    <w:nsid w:val="3822CB01"/>
    <w:multiLevelType w:val="hybridMultilevel"/>
    <w:lvl w:ilvl="0">
      <w:lvlJc w:val="left"/>
      <w:lvlText w:val="•"/>
      <w:numFmt w:val="bullet"/>
      <w:start w:val="1"/>
    </w:lvl>
  </w:abstractNum>
  <w:abstractNum w:abstractNumId="272">
    <w:nsid w:val="6CE00443"/>
    <w:multiLevelType w:val="hybridMultilevel"/>
    <w:lvl w:ilvl="0">
      <w:lvlJc w:val="left"/>
      <w:lvlText w:val="•"/>
      <w:numFmt w:val="bullet"/>
      <w:start w:val="1"/>
    </w:lvl>
  </w:abstractNum>
  <w:abstractNum w:abstractNumId="273">
    <w:nsid w:val="79F0D62F"/>
    <w:multiLevelType w:val="hybridMultilevel"/>
    <w:lvl w:ilvl="0">
      <w:lvlJc w:val="left"/>
      <w:lvlText w:val="%1."/>
      <w:numFmt w:val="upperLetter"/>
      <w:start w:val="2"/>
    </w:lvl>
  </w:abstractNum>
  <w:abstractNum w:abstractNumId="274">
    <w:nsid w:val="7975E8EE"/>
    <w:multiLevelType w:val="hybridMultilevel"/>
    <w:lvl w:ilvl="0">
      <w:lvlJc w:val="left"/>
      <w:lvlText w:val="%1."/>
      <w:numFmt w:val="upperLetter"/>
      <w:start w:val="3"/>
    </w:lvl>
  </w:abstractNum>
  <w:abstractNum w:abstractNumId="275">
    <w:nsid w:val="73154115"/>
    <w:multiLevelType w:val="hybridMultilevel"/>
    <w:lvl w:ilvl="0">
      <w:lvlJc w:val="left"/>
      <w:lvlText w:val="%1."/>
      <w:numFmt w:val="upperLetter"/>
      <w:start w:val="4"/>
    </w:lvl>
  </w:abstractNum>
  <w:abstractNum w:abstractNumId="276">
    <w:nsid w:val="622D8102"/>
    <w:multiLevelType w:val="hybridMultilevel"/>
    <w:lvl w:ilvl="0">
      <w:lvlJc w:val="left"/>
      <w:lvlText w:val="%1."/>
      <w:numFmt w:val="upperLetter"/>
      <w:start w:val="5"/>
    </w:lvl>
  </w:abstractNum>
  <w:abstractNum w:abstractNumId="277">
    <w:nsid w:val="2AB26587"/>
    <w:multiLevelType w:val="hybridMultilevel"/>
    <w:lvl w:ilvl="0">
      <w:lvlJc w:val="left"/>
      <w:lvlText w:val="%1."/>
      <w:numFmt w:val="upperLetter"/>
      <w:start w:val="6"/>
    </w:lvl>
  </w:abstractNum>
  <w:abstractNum w:abstractNumId="278">
    <w:nsid w:val="44B3FA61"/>
    <w:multiLevelType w:val="hybridMultilevel"/>
    <w:lvl w:ilvl="0">
      <w:lvlJc w:val="left"/>
      <w:lvlText w:val="•"/>
      <w:numFmt w:val="bullet"/>
      <w:start w:val="1"/>
    </w:lvl>
  </w:abstractNum>
  <w:abstractNum w:abstractNumId="279">
    <w:nsid w:val="1C0CA67C"/>
    <w:multiLevelType w:val="hybridMultilevel"/>
    <w:lvl w:ilvl="0">
      <w:lvlJc w:val="left"/>
      <w:lvlText w:val="•"/>
      <w:numFmt w:val="bullet"/>
      <w:start w:val="1"/>
    </w:lvl>
  </w:abstractNum>
  <w:abstractNum w:abstractNumId="280">
    <w:nsid w:val="3D206613"/>
    <w:multiLevelType w:val="hybridMultilevel"/>
    <w:lvl w:ilvl="0">
      <w:lvlJc w:val="left"/>
      <w:lvlText w:val="%1."/>
      <w:numFmt w:val="upperLetter"/>
      <w:start w:val="7"/>
    </w:lvl>
  </w:abstractNum>
  <w:abstractNum w:abstractNumId="281">
    <w:nsid w:val="7993B662"/>
    <w:multiLevelType w:val="hybridMultilevel"/>
    <w:lvl w:ilvl="0">
      <w:lvlJc w:val="left"/>
      <w:lvlText w:val="%1."/>
      <w:numFmt w:val="upperLetter"/>
      <w:start w:val="8"/>
    </w:lvl>
  </w:abstractNum>
  <w:abstractNum w:abstractNumId="282">
    <w:nsid w:val="3BAB699E"/>
    <w:multiLevelType w:val="hybridMultilevel"/>
    <w:lvl w:ilvl="0">
      <w:lvlJc w:val="left"/>
      <w:lvlText w:val="%1."/>
      <w:numFmt w:val="upperLetter"/>
      <w:start w:val="1"/>
    </w:lvl>
  </w:abstractNum>
  <w:abstractNum w:abstractNumId="283">
    <w:nsid w:val="71315369"/>
    <w:multiLevelType w:val="hybridMultilevel"/>
    <w:lvl w:ilvl="0">
      <w:lvlJc w:val="left"/>
      <w:lvlText w:val="(%1)"/>
      <w:numFmt w:val="lowerLetter"/>
      <w:start w:val="1"/>
    </w:lvl>
    <w:lvl w:ilvl="1">
      <w:lvlJc w:val="left"/>
      <w:lvlText w:val="(%2)"/>
      <w:numFmt w:val="lowerRoman"/>
      <w:start w:val="1"/>
    </w:lvl>
  </w:abstractNum>
  <w:abstractNum w:abstractNumId="284">
    <w:nsid w:val="7BCFBAFC"/>
    <w:multiLevelType w:val="hybridMultilevel"/>
    <w:lvl w:ilvl="0">
      <w:lvlJc w:val="left"/>
      <w:lvlText w:val="(%1)"/>
      <w:numFmt w:val="lowerLetter"/>
      <w:start w:val="3"/>
    </w:lvl>
    <w:lvl w:ilvl="1">
      <w:lvlJc w:val="left"/>
      <w:lvlText w:val="(%2)"/>
      <w:numFmt w:val="lowerRoman"/>
      <w:start w:val="1"/>
    </w:lvl>
  </w:abstractNum>
  <w:abstractNum w:abstractNumId="285">
    <w:nsid w:val="17859F72"/>
    <w:multiLevelType w:val="hybridMultilevel"/>
    <w:lvl w:ilvl="0">
      <w:lvlJc w:val="left"/>
      <w:lvlText w:val="%1"/>
      <w:numFmt w:val="upperLetter"/>
      <w:start w:val="1"/>
    </w:lvl>
    <w:lvl w:ilvl="1">
      <w:lvlJc w:val="left"/>
      <w:lvlText w:val="(%2)"/>
      <w:numFmt w:val="lowerLetter"/>
      <w:start w:val="4"/>
    </w:lvl>
  </w:abstractNum>
  <w:abstractNum w:abstractNumId="286">
    <w:nsid w:val="3AA10581"/>
    <w:multiLevelType w:val="hybridMultilevel"/>
    <w:lvl w:ilvl="0">
      <w:lvlJc w:val="left"/>
      <w:lvlText w:val="%1."/>
      <w:numFmt w:val="upperLetter"/>
      <w:start w:val="2"/>
    </w:lvl>
    <w:lvl w:ilvl="1">
      <w:lvlJc w:val="left"/>
      <w:lvlText w:val="(%2)"/>
      <w:numFmt w:val="lowerLetter"/>
      <w:start w:val="1"/>
    </w:lvl>
  </w:abstractNum>
  <w:abstractNum w:abstractNumId="287">
    <w:nsid w:val="63DE60CD"/>
    <w:multiLevelType w:val="hybridMultilevel"/>
    <w:lvl w:ilvl="0">
      <w:lvlJc w:val="left"/>
      <w:lvlText w:val="%1"/>
      <w:numFmt w:val="upperLetter"/>
      <w:start w:val="1"/>
    </w:lvl>
    <w:lvl w:ilvl="1">
      <w:lvlJc w:val="left"/>
      <w:lvlText w:val="(%2)"/>
      <w:numFmt w:val="lowerLetter"/>
      <w:start w:val="2"/>
    </w:lvl>
  </w:abstractNum>
  <w:abstractNum w:abstractNumId="288">
    <w:nsid w:val="621AF471"/>
    <w:multiLevelType w:val="hybridMultilevel"/>
    <w:lvl w:ilvl="0">
      <w:lvlJc w:val="left"/>
      <w:lvlText w:val="%1."/>
      <w:numFmt w:val="upperLetter"/>
      <w:start w:val="3"/>
    </w:lvl>
    <w:lvl w:ilvl="1">
      <w:lvlJc w:val="left"/>
      <w:lvlText w:val="%2"/>
      <w:numFmt w:val="lowerLetter"/>
      <w:start w:val="1"/>
    </w:lvl>
  </w:abstractNum>
  <w:abstractNum w:abstractNumId="289">
    <w:nsid w:val="73CFE165"/>
    <w:multiLevelType w:val="hybridMultilevel"/>
    <w:lvl w:ilvl="0">
      <w:lvlJc w:val="left"/>
      <w:lvlText w:val="•"/>
      <w:numFmt w:val="bullet"/>
      <w:start w:val="1"/>
    </w:lvl>
  </w:abstractNum>
  <w:abstractNum w:abstractNumId="290">
    <w:nsid w:val="20F88EA6"/>
    <w:multiLevelType w:val="hybridMultilevel"/>
    <w:lvl w:ilvl="0">
      <w:lvlJc w:val="left"/>
      <w:lvlText w:val="•"/>
      <w:numFmt w:val="bullet"/>
      <w:start w:val="1"/>
    </w:lvl>
  </w:abstractNum>
  <w:abstractNum w:abstractNumId="291">
    <w:nsid w:val="617C843E"/>
    <w:multiLevelType w:val="hybridMultilevel"/>
    <w:lvl w:ilvl="0">
      <w:lvlJc w:val="left"/>
      <w:lvlText w:val="(%1)"/>
      <w:numFmt w:val="lowerLetter"/>
      <w:start w:val="1"/>
    </w:lvl>
  </w:abstractNum>
  <w:abstractNum w:abstractNumId="292">
    <w:nsid w:val="7B541FAB"/>
    <w:multiLevelType w:val="hybridMultilevel"/>
    <w:lvl w:ilvl="0">
      <w:lvlJc w:val="left"/>
      <w:lvlText w:val="3"/>
      <w:numFmt w:val="bullet"/>
      <w:start w:val="1"/>
    </w:lvl>
  </w:abstractNum>
  <w:abstractNum w:abstractNumId="293">
    <w:nsid w:val="2A79EC4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94">
    <w:nsid w:val="338125CF"/>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295">
    <w:nsid w:val="47C7C971"/>
    <w:multiLevelType w:val="hybridMultilevel"/>
    <w:lvl w:ilvl="0">
      <w:lvlJc w:val="left"/>
      <w:lvlText w:val="(%1)"/>
      <w:numFmt w:val="lowerRoman"/>
      <w:start w:val="2"/>
    </w:lvl>
  </w:abstractNum>
  <w:abstractNum w:abstractNumId="296">
    <w:nsid w:val="46F8284B"/>
    <w:multiLevelType w:val="hybridMultilevel"/>
    <w:lvl w:ilvl="0">
      <w:lvlJc w:val="left"/>
      <w:lvlText w:val="(%1)"/>
      <w:numFmt w:val="lowerLetter"/>
      <w:start w:val="6"/>
    </w:lvl>
    <w:lvl w:ilvl="1">
      <w:lvlJc w:val="left"/>
      <w:lvlText w:val="(%2)"/>
      <w:numFmt w:val="lowerRoman"/>
      <w:start w:val="1"/>
    </w:lvl>
  </w:abstractNum>
  <w:abstractNum w:abstractNumId="297">
    <w:nsid w:val="4FA327CE"/>
    <w:multiLevelType w:val="hybridMultilevel"/>
    <w:lvl w:ilvl="0">
      <w:lvlJc w:val="left"/>
      <w:lvlText w:val="4"/>
      <w:numFmt w:val="bullet"/>
      <w:start w:val="1"/>
    </w:lvl>
  </w:abstractNum>
  <w:abstractNum w:abstractNumId="298">
    <w:nsid w:val="1873983A"/>
    <w:multiLevelType w:val="hybridMultilevel"/>
    <w:lvl w:ilvl="0">
      <w:lvlJc w:val="left"/>
      <w:lvlText w:val="%1"/>
      <w:numFmt w:val="lowerLetter"/>
      <w:start w:val="1"/>
    </w:lvl>
    <w:lvl w:ilvl="1">
      <w:lvlJc w:val="left"/>
      <w:lvlText w:val="(%2)"/>
      <w:numFmt w:val="lowerRoman"/>
      <w:start w:val="2"/>
    </w:lvl>
  </w:abstractNum>
  <w:abstractNum w:abstractNumId="299">
    <w:nsid w:val="3D2DD275"/>
    <w:multiLevelType w:val="hybridMultilevel"/>
    <w:lvl w:ilvl="0">
      <w:lvlJc w:val="left"/>
      <w:lvlText w:val="(%1)"/>
      <w:numFmt w:val="lowerLetter"/>
      <w:start w:val="7"/>
    </w:lvl>
    <w:lvl w:ilvl="1">
      <w:lvlJc w:val="left"/>
      <w:lvlText w:val="(%2)"/>
      <w:numFmt w:val="lowerRoman"/>
      <w:start w:val="1"/>
    </w:lvl>
  </w:abstractNum>
  <w:abstractNum w:abstractNumId="300">
    <w:nsid w:val="2E17ECA7"/>
    <w:multiLevelType w:val="hybridMultilevel"/>
    <w:lvl w:ilvl="0">
      <w:lvlJc w:val="left"/>
      <w:lvlText w:val="%1"/>
      <w:numFmt w:val="lowerLetter"/>
      <w:start w:val="1"/>
    </w:lvl>
    <w:lvl w:ilvl="1">
      <w:lvlJc w:val="left"/>
      <w:lvlText w:val="(%2)"/>
      <w:numFmt w:val="lowerRoman"/>
      <w:start w:val="3"/>
    </w:lvl>
  </w:abstractNum>
  <w:abstractNum w:abstractNumId="301">
    <w:nsid w:val="53B2564F"/>
    <w:multiLevelType w:val="hybridMultilevel"/>
    <w:lvl w:ilvl="0">
      <w:lvlJc w:val="left"/>
      <w:lvlText w:val="(%1)"/>
      <w:numFmt w:val="lowerLetter"/>
      <w:start w:val="10"/>
    </w:lvl>
    <w:lvl w:ilvl="1">
      <w:lvlJc w:val="left"/>
      <w:lvlText w:val="%2"/>
      <w:numFmt w:val="lowerRoman"/>
      <w:start w:val="1"/>
    </w:lvl>
  </w:abstractNum>
  <w:abstractNum w:abstractNumId="302">
    <w:nsid w:val="75509D76"/>
    <w:multiLevelType w:val="hybridMultilevel"/>
    <w:lvl w:ilvl="0">
      <w:lvlJc w:val="left"/>
      <w:lvlText w:val="(%1)"/>
      <w:numFmt w:val="lowerLetter"/>
      <w:start w:val="14"/>
    </w:lvl>
  </w:abstractNum>
  <w:abstractNum w:abstractNumId="303">
    <w:nsid w:val="1AF7F0EA"/>
    <w:multiLevelType w:val="hybridMultilevel"/>
    <w:lvl w:ilvl="0">
      <w:lvlJc w:val="left"/>
      <w:lvlText w:val="(%1)"/>
      <w:numFmt w:val="lowerLetter"/>
      <w:start w:val="1"/>
    </w:lvl>
  </w:abstractNum>
  <w:abstractNum w:abstractNumId="304">
    <w:nsid w:val="4DA32C7E"/>
    <w:multiLevelType w:val="hybridMultilevel"/>
    <w:lvl w:ilvl="0">
      <w:lvlJc w:val="left"/>
      <w:lvlText w:val="%1."/>
      <w:numFmt w:val="decimal"/>
      <w:start w:val="1"/>
    </w:lvl>
    <w:lvl w:ilvl="1">
      <w:lvlJc w:val="left"/>
      <w:lvlText w:val="(%2)"/>
      <w:numFmt w:val="lowerLetter"/>
      <w:start w:val="1"/>
    </w:lvl>
  </w:abstractNum>
  <w:abstractNum w:abstractNumId="305">
    <w:nsid w:val="6EC68664"/>
    <w:multiLevelType w:val="hybridMultilevel"/>
    <w:lvl w:ilvl="0">
      <w:lvlJc w:val="left"/>
      <w:lvlText w:val="%1."/>
      <w:numFmt w:val="decimal"/>
      <w:start w:val="1"/>
    </w:lvl>
    <w:lvl w:ilvl="1">
      <w:lvlJc w:val="left"/>
      <w:lvlText w:val="(%2)"/>
      <w:numFmt w:val="lowerLetter"/>
      <w:start w:val="1"/>
    </w:lvl>
  </w:abstractNum>
  <w:abstractNum w:abstractNumId="306">
    <w:nsid w:val="E0D31FF"/>
    <w:multiLevelType w:val="hybridMultilevel"/>
    <w:lvl w:ilvl="0">
      <w:lvlJc w:val="left"/>
      <w:lvlText w:val="%1."/>
      <w:numFmt w:val="decimal"/>
      <w:start w:val="1"/>
    </w:lvl>
  </w:abstractNum>
  <w:abstractNum w:abstractNumId="307">
    <w:nsid w:val="2FD0AD81"/>
    <w:multiLevelType w:val="hybridMultilevel"/>
    <w:lvl w:ilvl="0">
      <w:lvlJc w:val="left"/>
      <w:lvlText w:val="%1."/>
      <w:numFmt w:val="decimal"/>
      <w:start w:val="1"/>
    </w:lvl>
  </w:abstractNum>
  <w:abstractNum w:abstractNumId="308">
    <w:nsid w:val="1978EB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30" Type="http://schemas.openxmlformats.org/officeDocument/2006/relationships/image" Target="media/image215.png"/><Relationship Id="rId238" Type="http://schemas.openxmlformats.org/officeDocument/2006/relationships/image" Target="media/image216.png"/><Relationship Id="rId248" Type="http://schemas.openxmlformats.org/officeDocument/2006/relationships/image" Target="media/image217.png"/><Relationship Id="rId259" Type="http://schemas.openxmlformats.org/officeDocument/2006/relationships/image" Target="media/image218.png"/><Relationship Id="rId270" Type="http://schemas.openxmlformats.org/officeDocument/2006/relationships/image" Target="media/image219.png"/><Relationship Id="rId280"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290" Type="http://schemas.openxmlformats.org/officeDocument/2006/relationships/image" Target="media/image229.png"/><Relationship Id="rId291" Type="http://schemas.openxmlformats.org/officeDocument/2006/relationships/image" Target="media/image230.png"/><Relationship Id="rId292" Type="http://schemas.openxmlformats.org/officeDocument/2006/relationships/image" Target="media/image231.png"/><Relationship Id="rId293" Type="http://schemas.openxmlformats.org/officeDocument/2006/relationships/image" Target="media/image232.png"/><Relationship Id="rId294" Type="http://schemas.openxmlformats.org/officeDocument/2006/relationships/image" Target="media/image233.png"/><Relationship Id="rId295" Type="http://schemas.openxmlformats.org/officeDocument/2006/relationships/image" Target="media/image234.png"/><Relationship Id="rId296" Type="http://schemas.openxmlformats.org/officeDocument/2006/relationships/image" Target="media/image235.png"/><Relationship Id="rId297"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00" Type="http://schemas.openxmlformats.org/officeDocument/2006/relationships/image" Target="media/image239.png"/><Relationship Id="rId301" Type="http://schemas.openxmlformats.org/officeDocument/2006/relationships/image" Target="media/image240.png"/><Relationship Id="rId302" Type="http://schemas.openxmlformats.org/officeDocument/2006/relationships/image" Target="media/image241.png"/><Relationship Id="rId303" Type="http://schemas.openxmlformats.org/officeDocument/2006/relationships/image" Target="media/image242.png"/><Relationship Id="rId304" Type="http://schemas.openxmlformats.org/officeDocument/2006/relationships/image" Target="media/image243.png"/><Relationship Id="rId305" Type="http://schemas.openxmlformats.org/officeDocument/2006/relationships/image" Target="media/image244.png"/><Relationship Id="rId306" Type="http://schemas.openxmlformats.org/officeDocument/2006/relationships/image" Target="media/image245.png"/><Relationship Id="rId307" Type="http://schemas.openxmlformats.org/officeDocument/2006/relationships/image" Target="media/image246.png"/><Relationship Id="rId308" Type="http://schemas.openxmlformats.org/officeDocument/2006/relationships/image" Target="media/image247.png"/><Relationship Id="rId309" Type="http://schemas.openxmlformats.org/officeDocument/2006/relationships/image" Target="media/image248.pn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315" Type="http://schemas.openxmlformats.org/officeDocument/2006/relationships/image" Target="media/image254.png"/><Relationship Id="rId316" Type="http://schemas.openxmlformats.org/officeDocument/2006/relationships/image" Target="media/image255.png"/><Relationship Id="rId317" Type="http://schemas.openxmlformats.org/officeDocument/2006/relationships/image" Target="media/image256.png"/><Relationship Id="rId318" Type="http://schemas.openxmlformats.org/officeDocument/2006/relationships/image" Target="media/image257.png"/><Relationship Id="rId319" Type="http://schemas.openxmlformats.org/officeDocument/2006/relationships/image" Target="media/image258.png"/><Relationship Id="rId320" Type="http://schemas.openxmlformats.org/officeDocument/2006/relationships/image" Target="media/image259.png"/><Relationship Id="rId321" Type="http://schemas.openxmlformats.org/officeDocument/2006/relationships/image" Target="media/image260.png"/><Relationship Id="rId322" Type="http://schemas.openxmlformats.org/officeDocument/2006/relationships/image" Target="media/image261.png"/><Relationship Id="rId323" Type="http://schemas.openxmlformats.org/officeDocument/2006/relationships/image" Target="media/image262.png"/><Relationship Id="rId324" Type="http://schemas.openxmlformats.org/officeDocument/2006/relationships/image" Target="media/image263.png"/><Relationship Id="rId325" Type="http://schemas.openxmlformats.org/officeDocument/2006/relationships/image" Target="media/image264.png"/><Relationship Id="rId326" Type="http://schemas.openxmlformats.org/officeDocument/2006/relationships/image" Target="media/image265.png"/><Relationship Id="rId327" Type="http://schemas.openxmlformats.org/officeDocument/2006/relationships/image" Target="media/image266.png"/><Relationship Id="rId328" Type="http://schemas.openxmlformats.org/officeDocument/2006/relationships/image" Target="media/image267.png"/><Relationship Id="rId329" Type="http://schemas.openxmlformats.org/officeDocument/2006/relationships/image" Target="media/image268.png"/><Relationship Id="rId330" Type="http://schemas.openxmlformats.org/officeDocument/2006/relationships/image" Target="media/image269.png"/><Relationship Id="rId331" Type="http://schemas.openxmlformats.org/officeDocument/2006/relationships/image" Target="media/image270.png"/><Relationship Id="rId332" Type="http://schemas.openxmlformats.org/officeDocument/2006/relationships/image" Target="media/image271.png"/><Relationship Id="rId333" Type="http://schemas.openxmlformats.org/officeDocument/2006/relationships/image" Target="media/image272.png"/><Relationship Id="rId334" Type="http://schemas.openxmlformats.org/officeDocument/2006/relationships/image" Target="media/image273.png"/><Relationship Id="rId335" Type="http://schemas.openxmlformats.org/officeDocument/2006/relationships/image" Target="media/image274.png"/><Relationship Id="rId336" Type="http://schemas.openxmlformats.org/officeDocument/2006/relationships/image" Target="media/image275.png"/><Relationship Id="rId337" Type="http://schemas.openxmlformats.org/officeDocument/2006/relationships/image" Target="media/image276.png"/><Relationship Id="rId338" Type="http://schemas.openxmlformats.org/officeDocument/2006/relationships/image" Target="media/image277.png"/><Relationship Id="rId339" Type="http://schemas.openxmlformats.org/officeDocument/2006/relationships/image" Target="media/image278.png"/><Relationship Id="rId340"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pn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pn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pn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pn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441" Type="http://schemas.openxmlformats.org/officeDocument/2006/relationships/image" Target="media/image380.png"/><Relationship Id="rId442" Type="http://schemas.openxmlformats.org/officeDocument/2006/relationships/image" Target="media/image381.png"/><Relationship Id="rId443" Type="http://schemas.openxmlformats.org/officeDocument/2006/relationships/image" Target="media/image382.png"/><Relationship Id="rId444" Type="http://schemas.openxmlformats.org/officeDocument/2006/relationships/image" Target="media/image383.png"/><Relationship Id="rId445" Type="http://schemas.openxmlformats.org/officeDocument/2006/relationships/image" Target="media/image384.png"/><Relationship Id="rId446" Type="http://schemas.openxmlformats.org/officeDocument/2006/relationships/image" Target="media/image385.png"/><Relationship Id="rId447" Type="http://schemas.openxmlformats.org/officeDocument/2006/relationships/image" Target="media/image386.png"/><Relationship Id="rId448" Type="http://schemas.openxmlformats.org/officeDocument/2006/relationships/image" Target="media/image387.png"/><Relationship Id="rId449" Type="http://schemas.openxmlformats.org/officeDocument/2006/relationships/image" Target="media/image388.png"/><Relationship Id="rId450" Type="http://schemas.openxmlformats.org/officeDocument/2006/relationships/image" Target="media/image389.png"/><Relationship Id="rId451" Type="http://schemas.openxmlformats.org/officeDocument/2006/relationships/image" Target="media/image390.png"/><Relationship Id="rId452" Type="http://schemas.openxmlformats.org/officeDocument/2006/relationships/image" Target="media/image391.png"/><Relationship Id="rId453" Type="http://schemas.openxmlformats.org/officeDocument/2006/relationships/image" Target="media/image392.png"/><Relationship Id="rId454" Type="http://schemas.openxmlformats.org/officeDocument/2006/relationships/image" Target="media/image393.png"/><Relationship Id="rId455" Type="http://schemas.openxmlformats.org/officeDocument/2006/relationships/image" Target="media/image394.png"/><Relationship Id="rId456" Type="http://schemas.openxmlformats.org/officeDocument/2006/relationships/image" Target="media/image395.png"/><Relationship Id="rId457" Type="http://schemas.openxmlformats.org/officeDocument/2006/relationships/image" Target="media/image396.png"/><Relationship Id="rId458" Type="http://schemas.openxmlformats.org/officeDocument/2006/relationships/image" Target="media/image397.png"/><Relationship Id="rId459" Type="http://schemas.openxmlformats.org/officeDocument/2006/relationships/image" Target="media/image398.png"/><Relationship Id="rId460" Type="http://schemas.openxmlformats.org/officeDocument/2006/relationships/image" Target="media/image399.png"/><Relationship Id="rId461" Type="http://schemas.openxmlformats.org/officeDocument/2006/relationships/image" Target="media/image400.png"/><Relationship Id="rId462" Type="http://schemas.openxmlformats.org/officeDocument/2006/relationships/image" Target="media/image401.png"/><Relationship Id="rId463" Type="http://schemas.openxmlformats.org/officeDocument/2006/relationships/image" Target="media/image402.png"/><Relationship Id="rId464" Type="http://schemas.openxmlformats.org/officeDocument/2006/relationships/image" Target="media/image403.png"/><Relationship Id="rId465" Type="http://schemas.openxmlformats.org/officeDocument/2006/relationships/image" Target="media/image404.png"/><Relationship Id="rId466" Type="http://schemas.openxmlformats.org/officeDocument/2006/relationships/image" Target="media/image405.png"/><Relationship Id="rId467" Type="http://schemas.openxmlformats.org/officeDocument/2006/relationships/image" Target="media/image406.png"/><Relationship Id="rId468" Type="http://schemas.openxmlformats.org/officeDocument/2006/relationships/image" Target="media/image407.png"/><Relationship Id="rId469" Type="http://schemas.openxmlformats.org/officeDocument/2006/relationships/image" Target="media/image408.png"/><Relationship Id="rId470" Type="http://schemas.openxmlformats.org/officeDocument/2006/relationships/image" Target="media/image409.png"/><Relationship Id="rId471" Type="http://schemas.openxmlformats.org/officeDocument/2006/relationships/image" Target="media/image410.png"/><Relationship Id="rId472" Type="http://schemas.openxmlformats.org/officeDocument/2006/relationships/image" Target="media/image411.png"/><Relationship Id="rId473" Type="http://schemas.openxmlformats.org/officeDocument/2006/relationships/image" Target="media/image412.png"/><Relationship Id="rId474" Type="http://schemas.openxmlformats.org/officeDocument/2006/relationships/image" Target="media/image413.png"/><Relationship Id="rId475" Type="http://schemas.openxmlformats.org/officeDocument/2006/relationships/image" Target="media/image414.png"/><Relationship Id="rId476" Type="http://schemas.openxmlformats.org/officeDocument/2006/relationships/image" Target="media/image415.png"/><Relationship Id="rId477" Type="http://schemas.openxmlformats.org/officeDocument/2006/relationships/image" Target="media/image416.png"/><Relationship Id="rId478" Type="http://schemas.openxmlformats.org/officeDocument/2006/relationships/image" Target="media/image417.png"/><Relationship Id="rId479" Type="http://schemas.openxmlformats.org/officeDocument/2006/relationships/image" Target="media/image418.jpeg"/><Relationship Id="rId480" Type="http://schemas.openxmlformats.org/officeDocument/2006/relationships/image" Target="media/image419.png"/><Relationship Id="rId481" Type="http://schemas.openxmlformats.org/officeDocument/2006/relationships/image" Target="media/image420.png"/><Relationship Id="rId482" Type="http://schemas.openxmlformats.org/officeDocument/2006/relationships/image" Target="media/image421.png"/><Relationship Id="rId483" Type="http://schemas.openxmlformats.org/officeDocument/2006/relationships/image" Target="media/image422.png"/><Relationship Id="rId484" Type="http://schemas.openxmlformats.org/officeDocument/2006/relationships/image" Target="media/image423.png"/><Relationship Id="rId485" Type="http://schemas.openxmlformats.org/officeDocument/2006/relationships/image" Target="media/image424.png"/><Relationship Id="rId486" Type="http://schemas.openxmlformats.org/officeDocument/2006/relationships/image" Target="media/image425.png"/><Relationship Id="rId487" Type="http://schemas.openxmlformats.org/officeDocument/2006/relationships/image" Target="media/image426.png"/><Relationship Id="rId488" Type="http://schemas.openxmlformats.org/officeDocument/2006/relationships/image" Target="media/image427.png"/><Relationship Id="rId489" Type="http://schemas.openxmlformats.org/officeDocument/2006/relationships/image" Target="media/image428.png"/><Relationship Id="rId490" Type="http://schemas.openxmlformats.org/officeDocument/2006/relationships/image" Target="media/image429.png"/><Relationship Id="rId491" Type="http://schemas.openxmlformats.org/officeDocument/2006/relationships/image" Target="media/image430.png"/><Relationship Id="rId492" Type="http://schemas.openxmlformats.org/officeDocument/2006/relationships/image" Target="media/image431.png"/><Relationship Id="rId493" Type="http://schemas.openxmlformats.org/officeDocument/2006/relationships/image" Target="media/image432.png"/><Relationship Id="rId494" Type="http://schemas.openxmlformats.org/officeDocument/2006/relationships/image" Target="media/image433.png"/><Relationship Id="rId495" Type="http://schemas.openxmlformats.org/officeDocument/2006/relationships/image" Target="media/image434.png"/><Relationship Id="rId496" Type="http://schemas.openxmlformats.org/officeDocument/2006/relationships/image" Target="media/image435.png"/><Relationship Id="rId497" Type="http://schemas.openxmlformats.org/officeDocument/2006/relationships/image" Target="media/image436.png"/><Relationship Id="rId498" Type="http://schemas.openxmlformats.org/officeDocument/2006/relationships/image" Target="media/image437.png"/><Relationship Id="rId499" Type="http://schemas.openxmlformats.org/officeDocument/2006/relationships/image" Target="media/image438.png"/><Relationship Id="rId500" Type="http://schemas.openxmlformats.org/officeDocument/2006/relationships/image" Target="media/image439.png"/><Relationship Id="rId501" Type="http://schemas.openxmlformats.org/officeDocument/2006/relationships/image" Target="media/image440.png"/><Relationship Id="rId502" Type="http://schemas.openxmlformats.org/officeDocument/2006/relationships/image" Target="media/image441.png"/><Relationship Id="rId503" Type="http://schemas.openxmlformats.org/officeDocument/2006/relationships/image" Target="media/image442.png"/><Relationship Id="rId504" Type="http://schemas.openxmlformats.org/officeDocument/2006/relationships/image" Target="media/image443.png"/><Relationship Id="rId505" Type="http://schemas.openxmlformats.org/officeDocument/2006/relationships/image" Target="media/image444.png"/><Relationship Id="rId506" Type="http://schemas.openxmlformats.org/officeDocument/2006/relationships/image" Target="media/image445.png"/><Relationship Id="rId507" Type="http://schemas.openxmlformats.org/officeDocument/2006/relationships/image" Target="media/image446.png"/><Relationship Id="rId508" Type="http://schemas.openxmlformats.org/officeDocument/2006/relationships/image" Target="media/image447.jpeg"/><Relationship Id="rId509" Type="http://schemas.openxmlformats.org/officeDocument/2006/relationships/image" Target="media/image448.png"/><Relationship Id="rId510" Type="http://schemas.openxmlformats.org/officeDocument/2006/relationships/image" Target="media/image449.jpeg"/><Relationship Id="rId511" Type="http://schemas.openxmlformats.org/officeDocument/2006/relationships/image" Target="media/image450.png"/><Relationship Id="rId512" Type="http://schemas.openxmlformats.org/officeDocument/2006/relationships/image" Target="media/image451.png"/><Relationship Id="rId513" Type="http://schemas.openxmlformats.org/officeDocument/2006/relationships/image" Target="media/image452.png"/><Relationship Id="rId514" Type="http://schemas.openxmlformats.org/officeDocument/2006/relationships/image" Target="media/image453.png"/><Relationship Id="rId515" Type="http://schemas.openxmlformats.org/officeDocument/2006/relationships/image" Target="media/image454.png"/><Relationship Id="rId516" Type="http://schemas.openxmlformats.org/officeDocument/2006/relationships/image" Target="media/image455.png"/><Relationship Id="rId517" Type="http://schemas.openxmlformats.org/officeDocument/2006/relationships/image" Target="media/image456.png"/><Relationship Id="rId518" Type="http://schemas.openxmlformats.org/officeDocument/2006/relationships/image" Target="media/image457.png"/><Relationship Id="rId519" Type="http://schemas.openxmlformats.org/officeDocument/2006/relationships/image" Target="media/image458.png"/><Relationship Id="rId520" Type="http://schemas.openxmlformats.org/officeDocument/2006/relationships/image" Target="media/image459.png"/><Relationship Id="rId521" Type="http://schemas.openxmlformats.org/officeDocument/2006/relationships/image" Target="media/image460.png"/><Relationship Id="rId522" Type="http://schemas.openxmlformats.org/officeDocument/2006/relationships/image" Target="media/image461.png"/><Relationship Id="rId523" Type="http://schemas.openxmlformats.org/officeDocument/2006/relationships/image" Target="media/image462.jpeg"/><Relationship Id="rId222" Type="http://schemas.openxmlformats.org/officeDocument/2006/relationships/hyperlink" Target="http://www.sec.gov/Archives/edgar/data/1381640/000119312517119393/d259833dex11.htm" TargetMode="External"/><Relationship Id="rId223" Type="http://schemas.openxmlformats.org/officeDocument/2006/relationships/hyperlink" Target="http://www.sec.gov/Archives/edgar/data/1381640/000095012711000296/a11-132_ex4.htm" TargetMode="External"/><Relationship Id="rId224" Type="http://schemas.openxmlformats.org/officeDocument/2006/relationships/hyperlink" Target="http://www.sec.gov/Archives/edgar/data/1381640/000119312506245453/dex42.htm" TargetMode="External"/><Relationship Id="rId225" Type="http://schemas.openxmlformats.org/officeDocument/2006/relationships/hyperlink" Target="http://www.sec.gov/Archives/edgar/data/1381640/000119312507220974/dex411.htm" TargetMode="External"/><Relationship Id="rId226" Type="http://schemas.openxmlformats.org/officeDocument/2006/relationships/hyperlink" Target="http://www.sec.gov/Archives/edgar/data/1381640/000119312506250469/dex410.htm" TargetMode="External"/><Relationship Id="rId227" Type="http://schemas.openxmlformats.org/officeDocument/2006/relationships/hyperlink" Target="http://www.sec.gov/Archives/edgar/data/1381640/000119312517119393/d259833dex219.htm" TargetMode="External"/><Relationship Id="rId228" Type="http://schemas.openxmlformats.org/officeDocument/2006/relationships/hyperlink" Target="http://www.sec.gov/Archives/edgar/data/1381640/000119312518115018/d403262dex224.htm" TargetMode="External"/><Relationship Id="rId229" Type="http://schemas.openxmlformats.org/officeDocument/2006/relationships/hyperlink" Target="http://www.sec.gov/Archives/edgar/data/1381640/000119312523086859/d396630dex220.htm" TargetMode="External"/><Relationship Id="rId231" Type="http://schemas.openxmlformats.org/officeDocument/2006/relationships/hyperlink" Target="http://www.sec.gov/Archives/edgar/data/1381640/000119312513159811/d480016dex216.htm" TargetMode="External"/><Relationship Id="rId232" Type="http://schemas.openxmlformats.org/officeDocument/2006/relationships/hyperlink" Target="http://www.sec.gov/Archives/edgar/data/1381640/000119312513159811/d480016dex218.htm" TargetMode="External"/><Relationship Id="rId233" Type="http://schemas.openxmlformats.org/officeDocument/2006/relationships/hyperlink" Target="http://www.sec.gov/Archives/edgar/data/1381640/000119312516537953/d215050dex445.htm" TargetMode="External"/><Relationship Id="rId234" Type="http://schemas.openxmlformats.org/officeDocument/2006/relationships/hyperlink" Target="http://www.sec.gov/Archives/edgar/data/1381640/000119312516537953/d215050dex446.htm" TargetMode="External"/><Relationship Id="rId235" Type="http://schemas.openxmlformats.org/officeDocument/2006/relationships/hyperlink" Target="http://www.sec.gov/Archives/edgar/data/1381640/000119312516537953/d215050dex447.htm" TargetMode="External"/><Relationship Id="rId236" Type="http://schemas.openxmlformats.org/officeDocument/2006/relationships/hyperlink" Target="http://www.sec.gov/Archives/edgar/data/1381640/000119312516793135/d298555dex997.htm" TargetMode="External"/><Relationship Id="rId237" Type="http://schemas.openxmlformats.org/officeDocument/2006/relationships/hyperlink" Target="http://www.sec.gov/Archives/edgar/data/0001381640/000119312521101281/d51718dex236.htm" TargetMode="External"/><Relationship Id="rId239" Type="http://schemas.openxmlformats.org/officeDocument/2006/relationships/hyperlink" Target="http://www.sec.gov/Archives/edgar/data/1381640/000119312522090588/d202624dex226.htm" TargetMode="External"/><Relationship Id="rId240" Type="http://schemas.openxmlformats.org/officeDocument/2006/relationships/hyperlink" Target="http://www.sec.gov/Archives/edgar/data/1381640/000119312525059759/d894115dex217.htm" TargetMode="External"/><Relationship Id="rId241" Type="http://schemas.openxmlformats.org/officeDocument/2006/relationships/hyperlink" Target="http://www.sec.gov/Archives/edgar/data/0001381640/000119312521101281/d51718dex237.htm" TargetMode="External"/><Relationship Id="rId242" Type="http://schemas.openxmlformats.org/officeDocument/2006/relationships/hyperlink" Target="http://www.sec.gov/Archives/edgar/data/1381640/000119312524074554/d520585dex224.htm" TargetMode="External"/><Relationship Id="rId243" Type="http://schemas.openxmlformats.org/officeDocument/2006/relationships/hyperlink" Target="http://www.sec.gov/Archives/edgar/data/1381640/000119312525059759/d894115dex220.htm" TargetMode="External"/><Relationship Id="rId244" Type="http://schemas.openxmlformats.org/officeDocument/2006/relationships/hyperlink" Target="http://www.sec.gov/Archives/edgar/data/1381640/000119312518115018/d403262dex225.htm" TargetMode="External"/><Relationship Id="rId245" Type="http://schemas.openxmlformats.org/officeDocument/2006/relationships/hyperlink" Target="http://www.sec.gov/Archives/edgar/data/1381640/000119312520091982/d837105dex228.htm" TargetMode="External"/><Relationship Id="rId246" Type="http://schemas.openxmlformats.org/officeDocument/2006/relationships/hyperlink" Target="http://www.sec.gov/Archives/edgar/data/1381640/000119312520091982/d837105dex229.htm" TargetMode="External"/><Relationship Id="rId247" Type="http://schemas.openxmlformats.org/officeDocument/2006/relationships/hyperlink" Target="http://www.sec.gov/Archives/edgar/data/1381640/000119312520091982/d837105dex230.htm" TargetMode="External"/><Relationship Id="rId249" Type="http://schemas.openxmlformats.org/officeDocument/2006/relationships/hyperlink" Target="http://www.sec.gov/Archives/edgar/data/0001381640/000119312521101281/d51718dex232.htm" TargetMode="External"/><Relationship Id="rId250" Type="http://schemas.openxmlformats.org/officeDocument/2006/relationships/hyperlink" Target="http://www.sec.gov/Archives/edgar/data/0001381640/000119312521101281/d51718dex233.htm" TargetMode="External"/><Relationship Id="rId251" Type="http://schemas.openxmlformats.org/officeDocument/2006/relationships/hyperlink" Target="http://www.sec.gov/Archives/edgar/data/0001381640/000119312521101281/d51718dex234.htm" TargetMode="External"/><Relationship Id="rId252" Type="http://schemas.openxmlformats.org/officeDocument/2006/relationships/hyperlink" Target="http://www.sec.gov/Archives/edgar/data/0001381640/000119312521101281/d51718dex235.htm" TargetMode="External"/><Relationship Id="rId253" Type="http://schemas.openxmlformats.org/officeDocument/2006/relationships/hyperlink" Target="http://www.sec.gov/Archives/edgar/data/1381640/000119312522090588/d202624dex224.htm" TargetMode="External"/><Relationship Id="rId254" Type="http://schemas.openxmlformats.org/officeDocument/2006/relationships/hyperlink" Target="http://www.sec.gov/Archives/edgar/data/1381640/000119312522090588/d202624dex225.htm" TargetMode="External"/><Relationship Id="rId255" Type="http://schemas.openxmlformats.org/officeDocument/2006/relationships/hyperlink" Target="http://www.sec.gov/Archives/edgar/data/1381640/000119312525059759/d894115dex231.htm" TargetMode="External"/><Relationship Id="rId256" Type="http://schemas.openxmlformats.org/officeDocument/2006/relationships/hyperlink" Target="http://www.sec.gov/Archives/edgar/data/1381640/000119312525059759/d894115dex232.htm" TargetMode="External"/><Relationship Id="rId257" Type="http://schemas.openxmlformats.org/officeDocument/2006/relationships/hyperlink" Target="http://www.sec.gov/Archives/edgar/data/1381640/000119312525059759/d894115dex233.htm" TargetMode="External"/><Relationship Id="rId258" Type="http://schemas.openxmlformats.org/officeDocument/2006/relationships/hyperlink" Target="http://www.sec.gov/Archives/edgar/data/1381640/000119312506250469/dex101.htm" TargetMode="External"/><Relationship Id="rId260" Type="http://schemas.openxmlformats.org/officeDocument/2006/relationships/hyperlink" Target="http://www.sec.gov/Archives/edgar/data/1381640/000119312506250469/dex102.htm" TargetMode="External"/><Relationship Id="rId261" Type="http://schemas.openxmlformats.org/officeDocument/2006/relationships/hyperlink" Target="http://www.sec.gov/Archives/edgar/data/1381640/000119312523086859/d396630dex43.htm" TargetMode="External"/><Relationship Id="rId262" Type="http://schemas.openxmlformats.org/officeDocument/2006/relationships/hyperlink" Target="http://www.sec.gov/Archives/edgar/data/1381640/000119312506245453/dex1013.htm" TargetMode="External"/><Relationship Id="rId263" Type="http://schemas.openxmlformats.org/officeDocument/2006/relationships/hyperlink" Target="http://www.sec.gov/Archives/edgar/data/1381640/000095012311031782/c13917exv4w30.htm" TargetMode="External"/><Relationship Id="rId264" Type="http://schemas.openxmlformats.org/officeDocument/2006/relationships/hyperlink" Target="http://www.sec.gov/Archives/edgar/data/1381640/000119312513159811/d480016dex436.htm" TargetMode="External"/><Relationship Id="rId265" Type="http://schemas.openxmlformats.org/officeDocument/2006/relationships/hyperlink" Target="http://www.sec.gov/Archives/edgar/data/1381640/000119312513159811/d480016dex437.htm" TargetMode="External"/><Relationship Id="rId266" Type="http://schemas.openxmlformats.org/officeDocument/2006/relationships/hyperlink" Target="http://www.sec.gov/Archives/edgar/data/1381640/000119312513159811/d480016dex438.htm" TargetMode="External"/><Relationship Id="rId267" Type="http://schemas.openxmlformats.org/officeDocument/2006/relationships/hyperlink" Target="http://www.sec.gov/Archives/edgar/data/1381640/000119312513159811/d480016dex442.htm" TargetMode="External"/><Relationship Id="rId268" Type="http://schemas.openxmlformats.org/officeDocument/2006/relationships/hyperlink" Target="http://www.sec.gov/Archives/edgar/data/1381640/000119312517119393/d259833dex425.htm" TargetMode="External"/><Relationship Id="rId269" Type="http://schemas.openxmlformats.org/officeDocument/2006/relationships/hyperlink" Target="http://www.sec.gov/Archives/edgar/data/1713334/000119312518269188/d552298dex1019.htm" TargetMode="External"/><Relationship Id="rId271" Type="http://schemas.openxmlformats.org/officeDocument/2006/relationships/hyperlink" Target="http://www.sec.gov/Archives/edgar/data/0001713334/000119312518269188/d552298dex1020.htm" TargetMode="External"/><Relationship Id="rId272" Type="http://schemas.openxmlformats.org/officeDocument/2006/relationships/hyperlink" Target="http://www.sec.gov/Archives/edgar/data/0001713334/000119312518269188/d552298dex1021.htm" TargetMode="External"/><Relationship Id="rId273" Type="http://schemas.openxmlformats.org/officeDocument/2006/relationships/hyperlink" Target="http://www.sec.gov/Archives/edgar/data/1381640/000119312519091845/d493392dex425.htm" TargetMode="External"/><Relationship Id="rId274" Type="http://schemas.openxmlformats.org/officeDocument/2006/relationships/hyperlink" Target="http://www.sec.gov/Archives/edgar/data/1381640/000119312520091982/d837105dex431.htm" TargetMode="External"/><Relationship Id="rId275" Type="http://schemas.openxmlformats.org/officeDocument/2006/relationships/hyperlink" Target="http://www.sec.gov/Archives/edgar/data/0001381640/000119312521101281/d51718dex435.htm" TargetMode="External"/><Relationship Id="rId276" Type="http://schemas.openxmlformats.org/officeDocument/2006/relationships/hyperlink" Target="http://www.sec.gov/Archives/edgar/data/0001381640/000119312521101281/d51718dex436.htm" TargetMode="External"/><Relationship Id="rId277" Type="http://schemas.openxmlformats.org/officeDocument/2006/relationships/hyperlink" Target="http://www.sec.gov/Archives/edgar/data/1381640/000119312524160270/d845661dex46.htm" TargetMode="External"/><Relationship Id="rId278" Type="http://schemas.openxmlformats.org/officeDocument/2006/relationships/hyperlink" Target="http://www.sec.gov/Archives/edgar/data/1381640/000119312522307814/d408504dex993.htm" TargetMode="External"/><Relationship Id="rId279" Type="http://schemas.openxmlformats.org/officeDocument/2006/relationships/hyperlink" Target="http://www.sec.gov/Archives/edgar/data/1713334/000119312523086860/d396626dex419.htm" TargetMode="External"/><Relationship Id="rId281" Type="http://schemas.openxmlformats.org/officeDocument/2006/relationships/hyperlink" Target="http://www.sec.gov/Archives/edgar/data/1381640/000119312524074554/d520585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2026-03-13T06:52:14Z</dcterms:created>
  <dcterms:modified xsi:type="dcterms:W3CDTF">2026-03-13T06:52:14Z</dcterms:modified>
</cp:coreProperties>
</file>